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50A2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991354">
            <w:pPr>
              <w:pStyle w:val="19"/>
              <w:framePr w:wrap="notBeside" w:vAnchor="page" w:hAnchor="page" w:x="1372" w:y="568"/>
              <w:tabs>
                <w:tab w:val="clear" w:pos="4153"/>
                <w:tab w:val="clear" w:pos="8306"/>
              </w:tabs>
              <w:jc w:val="left"/>
              <w:rPr>
                <w:rFonts w:hint="default" w:ascii="黑体" w:hAnsi="黑体" w:eastAsia="黑体"/>
                <w:sz w:val="21"/>
                <w:szCs w:val="21"/>
              </w:rPr>
            </w:pPr>
            <w:r>
              <w:rPr>
                <w:rFonts w:ascii="Times New Roman" w:eastAsia="黑体"/>
                <w:sz w:val="21"/>
                <w:szCs w:val="21"/>
              </w:rPr>
              <w:t>ICS</w:t>
            </w:r>
          </w:p>
        </w:tc>
        <w:tc>
          <w:tcPr>
            <w:tcW w:w="8855" w:type="dxa"/>
          </w:tcPr>
          <w:p w14:paraId="0068FA66">
            <w:pPr>
              <w:pStyle w:val="19"/>
              <w:framePr w:wrap="notBeside" w:vAnchor="page" w:hAnchor="page" w:x="1372" w:y="568"/>
              <w:tabs>
                <w:tab w:val="clear" w:pos="4153"/>
                <w:tab w:val="clear" w:pos="8306"/>
              </w:tabs>
              <w:jc w:val="both"/>
              <w:rPr>
                <w:rFonts w:hint="default"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97.140</w:t>
            </w:r>
            <w:r>
              <w:rPr>
                <w:rFonts w:ascii="黑体" w:hAnsi="黑体" w:eastAsia="黑体"/>
                <w:sz w:val="21"/>
                <w:szCs w:val="21"/>
              </w:rPr>
              <w:fldChar w:fldCharType="end"/>
            </w:r>
            <w:bookmarkEnd w:id="0"/>
          </w:p>
        </w:tc>
      </w:tr>
      <w:tr w14:paraId="3F603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32820D">
            <w:pPr>
              <w:pStyle w:val="19"/>
              <w:framePr w:wrap="notBeside" w:vAnchor="page" w:hAnchor="page" w:x="1372" w:y="568"/>
              <w:tabs>
                <w:tab w:val="clear" w:pos="4153"/>
                <w:tab w:val="clear" w:pos="8306"/>
              </w:tabs>
              <w:spacing w:before="40"/>
              <w:jc w:val="left"/>
              <w:rPr>
                <w:rFonts w:hint="default" w:ascii="黑体" w:hAnsi="黑体" w:eastAsia="黑体"/>
                <w:sz w:val="21"/>
                <w:szCs w:val="21"/>
              </w:rPr>
            </w:pPr>
            <w:r>
              <w:rPr>
                <w:rFonts w:ascii="Times New Roman" w:eastAsia="黑体"/>
                <w:sz w:val="21"/>
                <w:szCs w:val="21"/>
              </w:rPr>
              <w:t>CCS</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6D3CD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9283239">
                  <w:pPr>
                    <w:pStyle w:val="50"/>
                    <w:framePr w:wrap="notBeside" w:vAnchor="page" w:hAnchor="page" w:x="1372" w:y="568"/>
                    <w:ind w:left="420" w:right="624"/>
                    <w:rPr>
                      <w:rFonts w:hint="default"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JGE</w:t>
                  </w:r>
                  <w:r>
                    <w:fldChar w:fldCharType="end"/>
                  </w:r>
                  <w:bookmarkEnd w:id="1"/>
                </w:p>
              </w:tc>
            </w:tr>
          </w:tbl>
          <w:p w14:paraId="2CA6DD4C">
            <w:pPr>
              <w:pStyle w:val="19"/>
              <w:framePr w:wrap="notBeside" w:vAnchor="page" w:hAnchor="page" w:x="1372" w:y="568"/>
              <w:tabs>
                <w:tab w:val="clear" w:pos="4153"/>
                <w:tab w:val="clear" w:pos="8306"/>
              </w:tabs>
              <w:spacing w:before="40"/>
              <w:jc w:val="left"/>
              <w:rPr>
                <w:rFonts w:hint="default"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Y 81</w:t>
            </w:r>
            <w:r>
              <w:rPr>
                <w:rFonts w:ascii="黑体" w:hAnsi="黑体" w:eastAsia="黑体"/>
                <w:sz w:val="21"/>
                <w:szCs w:val="21"/>
              </w:rPr>
              <w:fldChar w:fldCharType="end"/>
            </w:r>
            <w:bookmarkEnd w:id="2"/>
          </w:p>
        </w:tc>
      </w:tr>
    </w:tbl>
    <w:p w14:paraId="69DA78FF">
      <w:pPr>
        <w:pStyle w:val="51"/>
        <w:framePr w:wrap="around"/>
        <w:rPr>
          <w:rFonts w:hint="default" w:ascii="黑体" w:hAnsi="黑体" w:eastAsia="黑体"/>
          <w:b w:val="0"/>
          <w:bCs w:val="0"/>
          <w:w w:val="100"/>
          <w:szCs w:val="48"/>
        </w:rPr>
      </w:pPr>
      <w:bookmarkStart w:id="3" w:name="_Hlk26473981"/>
      <w:r>
        <w:rPr>
          <w:rFonts w:ascii="黑体" w:eastAsia="黑体"/>
          <w:b w:val="0"/>
          <w:w w:val="100"/>
        </w:rPr>
        <w:fldChar w:fldCharType="begin">
          <w:ffData>
            <w:name w:val="c2"/>
            <w:enabled/>
            <w:calcOnExit w:val="0"/>
            <w:textInput/>
          </w:ffData>
        </w:fldChar>
      </w:r>
      <w:bookmarkStart w:id="4" w:name="c2"/>
      <w:r>
        <w:rPr>
          <w:rFonts w:ascii="黑体" w:eastAsia="黑体"/>
          <w:b w:val="0"/>
          <w:w w:val="100"/>
        </w:rPr>
        <w:instrText xml:space="preserve"> FORMTEXT </w:instrText>
      </w:r>
      <w:r>
        <w:rPr>
          <w:rFonts w:ascii="黑体" w:eastAsia="黑体"/>
          <w:b w:val="0"/>
          <w:w w:val="100"/>
        </w:rPr>
        <w:fldChar w:fldCharType="separate"/>
      </w:r>
      <w:r>
        <w:rPr>
          <w:rFonts w:ascii="黑体" w:eastAsia="黑体"/>
          <w:b w:val="0"/>
          <w:w w:val="100"/>
        </w:rPr>
        <w:t>江西绿色生态品牌建设促进会</w:t>
      </w:r>
      <w:r>
        <w:rPr>
          <w:rFonts w:ascii="黑体" w:eastAsia="黑体"/>
          <w:b w:val="0"/>
          <w:w w:val="100"/>
        </w:rPr>
        <w:fldChar w:fldCharType="end"/>
      </w:r>
      <w:bookmarkEnd w:id="4"/>
      <w:r>
        <w:rPr>
          <w:rFonts w:ascii="黑体" w:eastAsia="黑体"/>
          <w:b w:val="0"/>
          <w:w w:val="100"/>
        </w:rPr>
        <w:t>团体</w:t>
      </w:r>
      <w:r>
        <w:rPr>
          <w:rFonts w:ascii="黑体" w:hAnsi="黑体" w:eastAsia="黑体"/>
          <w:b w:val="0"/>
          <w:bCs w:val="0"/>
          <w:w w:val="100"/>
          <w:szCs w:val="48"/>
        </w:rPr>
        <w:t>标准</w:t>
      </w:r>
    </w:p>
    <w:bookmarkEnd w:id="3"/>
    <w:p w14:paraId="3AB2825A">
      <w:pPr>
        <w:pStyle w:val="196"/>
        <w:rPr>
          <w:rFonts w:hint="default"/>
        </w:r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 xml:space="preserve">JGE </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1C43221">
      <w:pPr>
        <w:pStyle w:val="197"/>
        <w:rPr>
          <w:rFonts w:hint="default"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D775BEA">
      <w:pPr>
        <w:rPr>
          <w:rFonts w:hint="default" w:ascii="黑体" w:hAnsi="黑体" w:eastAsia="黑体"/>
          <w:kern w:val="0"/>
          <w:sz w:val="10"/>
          <w:szCs w:val="10"/>
        </w:rPr>
      </w:pPr>
      <w:r>
        <w:rPr>
          <w:rFonts w:hint="default"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4"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v:fill on="f" focussize="0,0"/>
                <v:stroke color="#000000" joinstyle="round"/>
                <v:imagedata o:title=""/>
                <o:lock v:ext="edit" aspectratio="f"/>
              </v:line>
            </w:pict>
          </mc:Fallback>
        </mc:AlternateContent>
      </w:r>
    </w:p>
    <w:p w14:paraId="20DA1619">
      <w:pPr>
        <w:pStyle w:val="51"/>
        <w:framePr w:h="6976" w:hRule="exact" w:hSpace="0" w:vSpace="0" w:wrap="around" w:y="6408"/>
        <w:jc w:val="center"/>
        <w:rPr>
          <w:rFonts w:hint="default" w:ascii="黑体" w:hAnsi="黑体" w:eastAsia="黑体"/>
          <w:b w:val="0"/>
          <w:bCs w:val="0"/>
          <w:w w:val="100"/>
        </w:rPr>
      </w:pPr>
    </w:p>
    <w:p w14:paraId="19E09CD6">
      <w:pPr>
        <w:pStyle w:val="198"/>
        <w:framePr w:h="6974" w:hRule="exact" w:wrap="around" w:x="1419" w:anchorLock="1"/>
        <w:rPr>
          <w:rFonts w:hint="default"/>
        </w:rPr>
      </w:pPr>
      <w:bookmarkStart w:id="46"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江西绿色生态 </w:t>
      </w:r>
      <w:r>
        <w:rPr>
          <w:rFonts w:hint="eastAsia"/>
          <w:lang w:eastAsia="zh-CN"/>
        </w:rPr>
        <w:t>可躺式午休课桌椅</w:t>
      </w:r>
      <w:r>
        <w:fldChar w:fldCharType="end"/>
      </w:r>
      <w:bookmarkEnd w:id="9"/>
      <w:bookmarkEnd w:id="46"/>
    </w:p>
    <w:p w14:paraId="4C60BA42">
      <w:pPr>
        <w:framePr w:w="9639" w:h="6974" w:hRule="exact" w:wrap="around" w:vAnchor="page" w:hAnchor="page" w:x="1419" w:y="6408" w:anchorLock="1"/>
        <w:ind w:left="-1418"/>
        <w:rPr>
          <w:rFonts w:hint="default"/>
        </w:rPr>
      </w:pPr>
    </w:p>
    <w:p w14:paraId="4165B7C7">
      <w:pPr>
        <w:pStyle w:val="127"/>
        <w:framePr w:wrap="around" w:anchorLock="1"/>
        <w:rPr>
          <w:rFonts w:hint="default"/>
          <w:szCs w:val="28"/>
        </w:rPr>
      </w:pPr>
      <w:r>
        <w:rPr>
          <w:szCs w:val="28"/>
        </w:rPr>
        <w:fldChar w:fldCharType="begin">
          <w:ffData>
            <w:name w:val="ESTD_NAME"/>
            <w:enabled/>
            <w:calcOnExit w:val="0"/>
            <w:textInput>
              <w:default w:val="点击此处添加标准名称的英文译名"/>
            </w:textInput>
          </w:ffData>
        </w:fldChar>
      </w:r>
      <w:bookmarkStart w:id="10" w:name="ESTD_NAME"/>
      <w:r>
        <w:rPr>
          <w:szCs w:val="28"/>
        </w:rPr>
        <w:instrText xml:space="preserve"> FORMTEXT </w:instrText>
      </w:r>
      <w:r>
        <w:rPr>
          <w:szCs w:val="28"/>
        </w:rPr>
        <w:fldChar w:fldCharType="separate"/>
      </w:r>
      <w:r>
        <w:rPr>
          <w:szCs w:val="28"/>
        </w:rPr>
        <w:t>Jiangxi green ecology—</w:t>
      </w:r>
      <w:r>
        <w:rPr>
          <w:rFonts w:hint="eastAsia"/>
          <w:szCs w:val="28"/>
        </w:rPr>
        <w:t>Reclining desk and chair for lunch break</w:t>
      </w:r>
      <w:r>
        <w:rPr>
          <w:szCs w:val="28"/>
        </w:rPr>
        <w:fldChar w:fldCharType="end"/>
      </w:r>
      <w:bookmarkEnd w:id="10"/>
    </w:p>
    <w:p w14:paraId="069AE3C3">
      <w:pPr>
        <w:framePr w:w="9639" w:h="6974" w:hRule="exact" w:wrap="around" w:vAnchor="page" w:hAnchor="page" w:x="1419" w:y="6408" w:anchorLock="1"/>
        <w:spacing w:line="760" w:lineRule="exact"/>
        <w:ind w:left="-1418"/>
        <w:rPr>
          <w:rFonts w:hint="default"/>
        </w:rPr>
      </w:pPr>
    </w:p>
    <w:p w14:paraId="79490764">
      <w:pPr>
        <w:pStyle w:val="127"/>
        <w:framePr w:wrap="around" w:anchorLock="1"/>
        <w:rPr>
          <w:rFonts w:hint="default"/>
          <w:szCs w:val="28"/>
        </w:rPr>
      </w:pPr>
    </w:p>
    <w:p w14:paraId="0CCFEE50">
      <w:pPr>
        <w:pStyle w:val="127"/>
        <w:framePr w:wrap="around" w:anchorLock="1"/>
        <w:spacing w:before="440" w:after="160"/>
        <w:rPr>
          <w:rFonts w:hint="default"/>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rFonts w:hint="default"/>
          <w:sz w:val="24"/>
          <w:szCs w:val="28"/>
        </w:rPr>
        <w:fldChar w:fldCharType="separate"/>
      </w:r>
      <w:r>
        <w:rPr>
          <w:sz w:val="24"/>
          <w:szCs w:val="28"/>
        </w:rPr>
        <w:fldChar w:fldCharType="end"/>
      </w:r>
      <w:bookmarkEnd w:id="11"/>
    </w:p>
    <w:p w14:paraId="0ABEE2CA">
      <w:pPr>
        <w:pStyle w:val="127"/>
        <w:framePr w:wrap="around" w:anchorLock="1"/>
        <w:spacing w:before="180" w:line="240" w:lineRule="atLeast"/>
        <w:rPr>
          <w:rFonts w:hint="default"/>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0DB5B19">
      <w:pPr>
        <w:pStyle w:val="127"/>
        <w:framePr w:wrap="around" w:anchorLock="1"/>
        <w:spacing w:before="720" w:beforeLines="300" w:after="72" w:afterLines="30" w:line="240" w:lineRule="auto"/>
        <w:rPr>
          <w:rFonts w:hint="default"/>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rFonts w:hint="default"/>
          <w:b/>
          <w:sz w:val="21"/>
          <w:szCs w:val="28"/>
        </w:rPr>
        <w:fldChar w:fldCharType="separate"/>
      </w:r>
      <w:r>
        <w:rPr>
          <w:b/>
          <w:sz w:val="21"/>
          <w:szCs w:val="28"/>
        </w:rPr>
        <w:fldChar w:fldCharType="end"/>
      </w:r>
      <w:bookmarkEnd w:id="13"/>
    </w:p>
    <w:p w14:paraId="257E71C2">
      <w:pPr>
        <w:pStyle w:val="194"/>
        <w:framePr w:wrap="around"/>
        <w:rPr>
          <w:rFonts w:hint="default"/>
        </w:rPr>
      </w:pPr>
      <w:r>
        <w:fldChar w:fldCharType="begin">
          <w:ffData>
            <w:name w:val="PLSH_DATE_Y"/>
            <w:enabled/>
            <w:calcOnExit w:val="0"/>
            <w:textInput>
              <w:default w:val="XXXX"/>
              <w:maxLength w:val="4"/>
            </w:textInput>
          </w:ffData>
        </w:fldChar>
      </w:r>
      <w:bookmarkStart w:id="14" w:name="PLSH_DATE_Y"/>
      <w:r>
        <w:instrText xml:space="preserve"> FORMTEXT </w:instrText>
      </w:r>
      <w:r>
        <w:fldChar w:fldCharType="separate"/>
      </w:r>
      <w:r>
        <w:t>XXXX</w:t>
      </w:r>
      <w:r>
        <w:fldChar w:fldCharType="end"/>
      </w:r>
      <w:bookmarkEnd w:id="14"/>
      <w:r>
        <w:t>-</w:t>
      </w:r>
      <w:r>
        <w:fldChar w:fldCharType="begin">
          <w:ffData>
            <w:name w:val="PLSH_DATE_M"/>
            <w:enabled/>
            <w:calcOnExit w:val="0"/>
            <w:textInput>
              <w:default w:val="XX"/>
              <w:maxLength w:val="2"/>
            </w:textInput>
          </w:ffData>
        </w:fldChar>
      </w:r>
      <w:bookmarkStart w:id="15" w:name="PLSH_DATE_M"/>
      <w:r>
        <w:instrText xml:space="preserve"> FORMTEXT </w:instrText>
      </w:r>
      <w:r>
        <w:fldChar w:fldCharType="separate"/>
      </w:r>
      <w:r>
        <w:t>XX</w:t>
      </w:r>
      <w:r>
        <w:fldChar w:fldCharType="end"/>
      </w:r>
      <w:bookmarkEnd w:id="15"/>
      <w:r>
        <w:t>-</w:t>
      </w:r>
      <w:r>
        <w:fldChar w:fldCharType="begin">
          <w:ffData>
            <w:name w:val="PLSH_DATE_D"/>
            <w:enabled/>
            <w:calcOnExit w:val="0"/>
            <w:textInput>
              <w:default w:val="XX"/>
              <w:maxLength w:val="2"/>
            </w:textInput>
          </w:ffData>
        </w:fldChar>
      </w:r>
      <w:bookmarkStart w:id="16" w:name="PLSH_DATE_D"/>
      <w:r>
        <w:instrText xml:space="preserve"> FORMTEXT </w:instrText>
      </w:r>
      <w:r>
        <w:fldChar w:fldCharType="separate"/>
      </w:r>
      <w:r>
        <w:t>XX</w:t>
      </w:r>
      <w:r>
        <w:fldChar w:fldCharType="end"/>
      </w:r>
      <w:bookmarkEnd w:id="16"/>
      <w:r>
        <w:t>发布</w:t>
      </w:r>
    </w:p>
    <w:p w14:paraId="5FAFC86E">
      <w:pPr>
        <w:pStyle w:val="195"/>
        <w:framePr w:wrap="around" w:y="14176"/>
        <w:rPr>
          <w:rFonts w:hint="default"/>
        </w:rPr>
      </w:pPr>
      <w:r>
        <w:fldChar w:fldCharType="begin">
          <w:ffData>
            <w:name w:val="CROT_DATE_Y"/>
            <w:enabled/>
            <w:calcOnExit w:val="0"/>
            <w:textInput>
              <w:default w:val="XXXX"/>
              <w:maxLength w:val="4"/>
            </w:textInput>
          </w:ffData>
        </w:fldChar>
      </w:r>
      <w:bookmarkStart w:id="17" w:name="CROT_DATE_Y"/>
      <w:r>
        <w:instrText xml:space="preserve"> FORMTEXT </w:instrText>
      </w:r>
      <w:r>
        <w:fldChar w:fldCharType="separate"/>
      </w:r>
      <w:r>
        <w:t>XXXX</w:t>
      </w:r>
      <w:r>
        <w:fldChar w:fldCharType="end"/>
      </w:r>
      <w:bookmarkEnd w:id="17"/>
      <w:r>
        <w:t>-</w:t>
      </w:r>
      <w:r>
        <w:fldChar w:fldCharType="begin">
          <w:ffData>
            <w:name w:val="CROT_DATE_M"/>
            <w:enabled/>
            <w:calcOnExit w:val="0"/>
            <w:textInput>
              <w:default w:val="XX"/>
              <w:maxLength w:val="2"/>
            </w:textInput>
          </w:ffData>
        </w:fldChar>
      </w:r>
      <w:bookmarkStart w:id="18" w:name="CROT_DATE_M"/>
      <w:r>
        <w:instrText xml:space="preserve"> FORMTEXT </w:instrText>
      </w:r>
      <w:r>
        <w:fldChar w:fldCharType="separate"/>
      </w:r>
      <w:r>
        <w:t>XX</w:t>
      </w:r>
      <w:r>
        <w:fldChar w:fldCharType="end"/>
      </w:r>
      <w:bookmarkEnd w:id="18"/>
      <w:r>
        <w:t>-</w:t>
      </w:r>
      <w:r>
        <w:fldChar w:fldCharType="begin">
          <w:ffData>
            <w:name w:val="CROT_DATE_D"/>
            <w:enabled/>
            <w:calcOnExit w:val="0"/>
            <w:textInput>
              <w:default w:val="XX"/>
              <w:maxLength w:val="2"/>
            </w:textInput>
          </w:ffData>
        </w:fldChar>
      </w:r>
      <w:bookmarkStart w:id="19" w:name="CROT_DATE_D"/>
      <w:r>
        <w:instrText xml:space="preserve"> FORMTEXT </w:instrText>
      </w:r>
      <w:r>
        <w:fldChar w:fldCharType="separate"/>
      </w:r>
      <w:r>
        <w:t>XX</w:t>
      </w:r>
      <w:r>
        <w:fldChar w:fldCharType="end"/>
      </w:r>
      <w:bookmarkEnd w:id="19"/>
      <w:r>
        <w:t>实施</w:t>
      </w:r>
    </w:p>
    <w:p w14:paraId="49A0E931">
      <w:pPr>
        <w:pStyle w:val="152"/>
        <w:framePr w:h="584" w:hRule="exact" w:hSpace="181" w:wrap="around" w:y="14800"/>
        <w:rPr>
          <w:rFonts w:hint="default"/>
        </w:rPr>
      </w:pPr>
      <w:r>
        <w:rPr>
          <w:w w:val="100"/>
        </w:rPr>
        <w:fldChar w:fldCharType="begin">
          <w:ffData>
            <w:name w:val="fm"/>
            <w:enabled/>
            <w:calcOnExit w:val="0"/>
            <w:textInput/>
          </w:ffData>
        </w:fldChar>
      </w:r>
      <w:bookmarkStart w:id="20" w:name="fm"/>
      <w:r>
        <w:rPr>
          <w:w w:val="100"/>
        </w:rPr>
        <w:instrText xml:space="preserve"> FORMTEXT </w:instrText>
      </w:r>
      <w:r>
        <w:rPr>
          <w:w w:val="100"/>
        </w:rPr>
        <w:fldChar w:fldCharType="separate"/>
      </w:r>
      <w:r>
        <w:rPr>
          <w:w w:val="100"/>
        </w:rPr>
        <w:t>江西绿色生态品牌建设促进会</w:t>
      </w:r>
      <w:r>
        <w:rPr>
          <w:w w:val="100"/>
        </w:rPr>
        <w:fldChar w:fldCharType="end"/>
      </w:r>
      <w:bookmarkEnd w:id="20"/>
      <w:r>
        <w:rPr>
          <w:rFonts w:ascii="Times New Roman"/>
          <w:w w:val="100"/>
        </w:rPr>
        <w:t>  </w:t>
      </w:r>
      <w:r>
        <w:rPr>
          <w:rStyle w:val="230"/>
          <w:position w:val="0"/>
        </w:rPr>
        <w:t>发</w:t>
      </w:r>
      <w:r>
        <w:rPr>
          <w:rStyle w:val="230"/>
          <w:spacing w:val="0"/>
          <w:position w:val="0"/>
        </w:rPr>
        <w:t>布</w:t>
      </w:r>
    </w:p>
    <w:p w14:paraId="2362C9D5">
      <w:pPr>
        <w:rPr>
          <w:rFonts w:hint="default" w:hAnsi="宋体"/>
          <w:sz w:val="28"/>
          <w:szCs w:val="28"/>
        </w:rPr>
        <w:sectPr>
          <w:headerReference r:id="rId4" w:type="first"/>
          <w:footerReference r:id="rId6" w:type="first"/>
          <w:headerReference r:id="rId3" w:type="default"/>
          <w:footerReference r:id="rId5" w:type="even"/>
          <w:type w:val="continuous"/>
          <w:pgSz w:w="11906" w:h="16838"/>
          <w:pgMar w:top="567" w:right="1134" w:bottom="1134" w:left="1134" w:header="1418" w:footer="1134" w:gutter="284"/>
          <w:cols w:space="425" w:num="1"/>
          <w:titlePg/>
          <w:docGrid w:linePitch="312" w:charSpace="0"/>
        </w:sectPr>
      </w:pPr>
      <w:r>
        <w:rPr>
          <w:rFonts w:hint="default"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542A5456">
      <w:pPr>
        <w:pStyle w:val="90"/>
        <w:spacing w:before="900" w:after="360"/>
        <w:rPr>
          <w:rFonts w:hint="default"/>
        </w:rPr>
      </w:pPr>
      <w:bookmarkStart w:id="21" w:name="BookMark2"/>
      <w:r>
        <w:rPr>
          <w:spacing w:val="320"/>
        </w:rPr>
        <w:t>前</w:t>
      </w:r>
      <w:r>
        <w:t>言</w:t>
      </w:r>
    </w:p>
    <w:p w14:paraId="630B9B7A">
      <w:pPr>
        <w:pStyle w:val="57"/>
        <w:rPr>
          <w:rFonts w:hint="default"/>
        </w:rPr>
      </w:pPr>
      <w:r>
        <w:t>本文件按照GB/T 1.1—2020《标准化工作导则  第1部分：标准化文件的结构和起草规则》的规定起草。</w:t>
      </w:r>
    </w:p>
    <w:p w14:paraId="1099AC2E">
      <w:pPr>
        <w:pStyle w:val="57"/>
        <w:rPr>
          <w:rFonts w:hint="default"/>
        </w:rPr>
      </w:pPr>
      <w:r>
        <w:t>请注意本文件的某些内容可能涉及专利。本文件的发布机构不承担识别这些专利的责任。</w:t>
      </w:r>
    </w:p>
    <w:p w14:paraId="33B956DC">
      <w:pPr>
        <w:pStyle w:val="57"/>
        <w:rPr>
          <w:rFonts w:hint="default"/>
        </w:rPr>
      </w:pPr>
      <w:r>
        <w:t>本文件由江西绿色生态品牌建设促进会提出并归口。</w:t>
      </w:r>
    </w:p>
    <w:p w14:paraId="0E8F9C80">
      <w:pPr>
        <w:pStyle w:val="57"/>
        <w:rPr>
          <w:rFonts w:hint="default"/>
        </w:rPr>
      </w:pPr>
      <w:r>
        <w:t>本文件起草单位：</w:t>
      </w:r>
      <w:r>
        <w:rPr>
          <w:rFonts w:hint="eastAsia"/>
          <w:lang w:val="en-US" w:eastAsia="zh-CN"/>
        </w:rPr>
        <w:t>江西省检验检测认证总院工业产品检验检测院、</w:t>
      </w:r>
      <w:r>
        <w:t>南城县市场监督管理局、江西省南城县校具商会</w:t>
      </w:r>
      <w:r>
        <w:rPr>
          <w:rFonts w:hint="eastAsia"/>
          <w:lang w:eastAsia="zh-CN"/>
        </w:rPr>
        <w:t>、</w:t>
      </w:r>
      <w:r>
        <w:t>江西省质量和标准化研究院、</w:t>
      </w:r>
      <w:r>
        <w:rPr>
          <w:rFonts w:hint="eastAsia"/>
          <w:lang w:val="en-US" w:eastAsia="zh-CN"/>
        </w:rPr>
        <w:t>X</w:t>
      </w:r>
      <w:r>
        <w:t>有限公司、</w:t>
      </w:r>
      <w:r>
        <w:rPr>
          <w:rFonts w:hint="eastAsia"/>
          <w:lang w:val="en-US" w:eastAsia="zh-CN"/>
        </w:rPr>
        <w:t xml:space="preserve"> X</w:t>
      </w:r>
      <w:r>
        <w:t>有限公司。</w:t>
      </w:r>
    </w:p>
    <w:p w14:paraId="5A654FCF">
      <w:pPr>
        <w:pStyle w:val="57"/>
        <w:rPr>
          <w:rFonts w:hint="default"/>
        </w:rPr>
      </w:pPr>
      <w:r>
        <w:t>本文件主要起草人：。</w:t>
      </w:r>
    </w:p>
    <w:p w14:paraId="0C6FC34A">
      <w:pPr>
        <w:pStyle w:val="57"/>
        <w:rPr>
          <w:rFonts w:hint="default"/>
        </w:rPr>
      </w:pPr>
    </w:p>
    <w:p w14:paraId="3A8089F9">
      <w:pPr>
        <w:pStyle w:val="57"/>
        <w:rPr>
          <w:rFonts w:hint="default"/>
        </w:rPr>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linePitch="312" w:charSpace="0"/>
        </w:sectPr>
      </w:pPr>
    </w:p>
    <w:bookmarkEnd w:id="21"/>
    <w:p w14:paraId="59BA65AC">
      <w:pPr>
        <w:pStyle w:val="90"/>
        <w:spacing w:after="360"/>
        <w:rPr>
          <w:rFonts w:hint="default"/>
        </w:rPr>
      </w:pPr>
      <w:bookmarkStart w:id="22" w:name="BookMark3"/>
      <w:r>
        <w:rPr>
          <w:spacing w:val="320"/>
        </w:rPr>
        <w:t>引</w:t>
      </w:r>
      <w:r>
        <w:t>言</w:t>
      </w:r>
    </w:p>
    <w:p w14:paraId="4A4809C6">
      <w:pPr>
        <w:pStyle w:val="57"/>
        <w:rPr>
          <w:rFonts w:hint="default"/>
        </w:rPr>
      </w:pPr>
      <w:r>
        <w:rPr>
          <w:rFonts w:hint="default"/>
        </w:rPr>
        <w:t>“</w:t>
      </w:r>
      <w:r>
        <w:t xml:space="preserve">江西绿色生态 </w:t>
      </w:r>
      <w:r>
        <w:rPr>
          <w:rFonts w:hint="eastAsia"/>
          <w:lang w:val="en-US" w:eastAsia="zh-CN"/>
        </w:rPr>
        <w:t>可躺式午休课桌椅</w:t>
      </w:r>
      <w:r>
        <w:t>”指标水平说明:</w:t>
      </w:r>
    </w:p>
    <w:p w14:paraId="56F99585">
      <w:pPr>
        <w:pStyle w:val="133"/>
        <w:rPr>
          <w:rFonts w:hint="default"/>
        </w:rPr>
      </w:pPr>
      <w:r>
        <w:t>“江西绿色生态”</w:t>
      </w:r>
      <w:r>
        <w:rPr>
          <w:rFonts w:hint="eastAsia"/>
          <w:lang w:val="en-US" w:eastAsia="zh-CN"/>
        </w:rPr>
        <w:t>可躺式午休课桌椅</w:t>
      </w:r>
      <w:r>
        <w:t>的有害物质及寿命应符合GB/T 35607《绿色产品评价 家具》的要求。</w:t>
      </w:r>
    </w:p>
    <w:p w14:paraId="2B1EBE26">
      <w:pPr>
        <w:pStyle w:val="133"/>
        <w:rPr>
          <w:rFonts w:hint="default"/>
        </w:rPr>
      </w:pPr>
      <w:r>
        <w:t>“江西绿色生态”</w:t>
      </w:r>
      <w:r>
        <w:rPr>
          <w:rFonts w:hint="eastAsia"/>
          <w:lang w:val="en-US" w:eastAsia="zh-CN"/>
        </w:rPr>
        <w:t>可躺式午休课桌椅</w:t>
      </w:r>
      <w:r>
        <w:t>的</w:t>
      </w:r>
      <w:r>
        <w:rPr>
          <w:rFonts w:hint="eastAsia"/>
          <w:lang w:val="en-US" w:eastAsia="zh-CN"/>
        </w:rPr>
        <w:t>塑料件</w:t>
      </w:r>
      <w:r>
        <w:t>有害物质应符合GB</w:t>
      </w:r>
      <w:r>
        <w:rPr>
          <w:rFonts w:hint="eastAsia"/>
          <w:lang w:val="en-US" w:eastAsia="zh-CN"/>
        </w:rPr>
        <w:t xml:space="preserve"> 28481</w:t>
      </w:r>
      <w:r>
        <w:t>《</w:t>
      </w:r>
      <w:r>
        <w:rPr>
          <w:rFonts w:hint="eastAsia"/>
        </w:rPr>
        <w:t>塑料家具中有害物质限量</w:t>
      </w:r>
      <w:r>
        <w:rPr>
          <w:rFonts w:hint="eastAsia"/>
          <w:lang w:eastAsia="zh-CN"/>
        </w:rPr>
        <w:t>》</w:t>
      </w:r>
      <w:r>
        <w:t>的要求。</w:t>
      </w:r>
    </w:p>
    <w:p w14:paraId="1BF14DFD">
      <w:pPr>
        <w:pStyle w:val="133"/>
        <w:rPr>
          <w:rFonts w:hint="default"/>
        </w:rPr>
      </w:pPr>
      <w:r>
        <w:t>“江西绿色生态”</w:t>
      </w:r>
      <w:r>
        <w:rPr>
          <w:rFonts w:hint="eastAsia"/>
          <w:lang w:val="en-US" w:eastAsia="zh-CN"/>
        </w:rPr>
        <w:t>可躺式午休课桌椅</w:t>
      </w:r>
      <w:r>
        <w:t>的</w:t>
      </w:r>
      <w:r>
        <w:rPr>
          <w:rFonts w:hint="eastAsia"/>
          <w:lang w:val="en-US" w:eastAsia="zh-CN"/>
        </w:rPr>
        <w:t>纺织面料</w:t>
      </w:r>
      <w:r>
        <w:t>有害物质应符合GB</w:t>
      </w:r>
      <w:r>
        <w:rPr>
          <w:rFonts w:hint="eastAsia"/>
          <w:lang w:val="en-US" w:eastAsia="zh-CN"/>
        </w:rPr>
        <w:t xml:space="preserve"> 28007</w:t>
      </w:r>
      <w:r>
        <w:t>《</w:t>
      </w:r>
      <w:r>
        <w:rPr>
          <w:rFonts w:hint="eastAsia"/>
          <w:lang w:val="en-US" w:eastAsia="zh-CN"/>
        </w:rPr>
        <w:t>儿童家具通用技术条件》</w:t>
      </w:r>
      <w:r>
        <w:t>的要求。</w:t>
      </w:r>
    </w:p>
    <w:p w14:paraId="6DE25593">
      <w:pPr>
        <w:pStyle w:val="57"/>
        <w:rPr>
          <w:rFonts w:hint="default"/>
        </w:rPr>
      </w:pPr>
    </w:p>
    <w:p w14:paraId="4985DDA7">
      <w:pPr>
        <w:pStyle w:val="57"/>
        <w:rPr>
          <w:rFonts w:hint="default"/>
        </w:rPr>
      </w:pPr>
    </w:p>
    <w:p w14:paraId="2ABC60FE">
      <w:pPr>
        <w:pStyle w:val="57"/>
        <w:rPr>
          <w:rFonts w:hint="default"/>
        </w:rPr>
      </w:pPr>
    </w:p>
    <w:p w14:paraId="032646C1">
      <w:pPr>
        <w:pStyle w:val="57"/>
        <w:rPr>
          <w:rFonts w:hint="default"/>
        </w:rPr>
        <w:sectPr>
          <w:pgSz w:w="11906" w:h="16838"/>
          <w:pgMar w:top="1928" w:right="1134" w:bottom="1134" w:left="1134" w:header="1418" w:footer="1134" w:gutter="284"/>
          <w:pgNumType w:fmt="upperRoman"/>
          <w:cols w:space="425" w:num="1"/>
          <w:formProt w:val="0"/>
          <w:docGrid w:linePitch="312" w:charSpace="0"/>
        </w:sectPr>
      </w:pPr>
    </w:p>
    <w:bookmarkEnd w:id="22"/>
    <w:p w14:paraId="3BA3193D">
      <w:pPr>
        <w:spacing w:line="20" w:lineRule="exact"/>
        <w:jc w:val="center"/>
        <w:rPr>
          <w:rFonts w:hint="default" w:ascii="黑体" w:hAnsi="黑体" w:eastAsia="黑体"/>
          <w:sz w:val="32"/>
          <w:szCs w:val="32"/>
        </w:rPr>
      </w:pPr>
      <w:bookmarkStart w:id="23" w:name="BookMark4"/>
    </w:p>
    <w:p w14:paraId="349474C8">
      <w:pPr>
        <w:spacing w:line="20" w:lineRule="exact"/>
        <w:jc w:val="center"/>
        <w:rPr>
          <w:rFonts w:hint="default" w:ascii="黑体" w:hAnsi="黑体" w:eastAsia="黑体"/>
          <w:sz w:val="32"/>
          <w:szCs w:val="32"/>
        </w:rPr>
      </w:pPr>
    </w:p>
    <w:sdt>
      <w:sdtPr>
        <w:tag w:val="NEW_STAND_NAME"/>
        <w:id w:val="595910757"/>
        <w:lock w:val="sdtLocked"/>
        <w:placeholder>
          <w:docPart w:val="1AE446A7020644C58C3FF2C1AF1BA2C3"/>
        </w:placeholder>
      </w:sdtPr>
      <w:sdtContent>
        <w:p w14:paraId="266D0A98">
          <w:pPr>
            <w:pStyle w:val="178"/>
            <w:spacing w:before="240" w:beforeLines="100" w:after="528" w:afterLines="220"/>
            <w:rPr>
              <w:rFonts w:hint="default"/>
            </w:rPr>
          </w:pPr>
          <w:bookmarkStart w:id="24" w:name="NEW_STAND_NAME"/>
          <w:r>
            <w:t xml:space="preserve">江西绿色生态 </w:t>
          </w:r>
          <w:r>
            <w:rPr>
              <w:rFonts w:hint="eastAsia"/>
              <w:lang w:val="en-US" w:eastAsia="zh-CN"/>
            </w:rPr>
            <w:t>可躺式午休课桌椅</w:t>
          </w:r>
        </w:p>
      </w:sdtContent>
    </w:sdt>
    <w:bookmarkEnd w:id="24"/>
    <w:p w14:paraId="3CECA0C0">
      <w:pPr>
        <w:pStyle w:val="105"/>
        <w:spacing w:before="240" w:after="240"/>
        <w:rPr>
          <w:rFonts w:hint="default"/>
        </w:rPr>
      </w:pPr>
      <w:bookmarkStart w:id="25" w:name="_Toc26986530"/>
      <w:bookmarkStart w:id="26" w:name="_Toc26718930"/>
      <w:bookmarkStart w:id="27" w:name="_Toc24884218"/>
      <w:bookmarkStart w:id="28" w:name="_Toc26986771"/>
      <w:bookmarkStart w:id="29" w:name="_Toc26648465"/>
      <w:bookmarkStart w:id="30" w:name="_Toc97192964"/>
      <w:bookmarkStart w:id="31" w:name="_Toc17233325"/>
      <w:bookmarkStart w:id="32" w:name="_Toc24884211"/>
      <w:bookmarkStart w:id="33" w:name="_Toc17233333"/>
      <w:r>
        <w:t>范围</w:t>
      </w:r>
      <w:bookmarkEnd w:id="25"/>
      <w:bookmarkEnd w:id="26"/>
      <w:bookmarkEnd w:id="27"/>
      <w:bookmarkEnd w:id="28"/>
      <w:bookmarkEnd w:id="29"/>
      <w:bookmarkEnd w:id="30"/>
      <w:bookmarkEnd w:id="31"/>
      <w:bookmarkEnd w:id="32"/>
      <w:bookmarkEnd w:id="33"/>
    </w:p>
    <w:p w14:paraId="7E074946">
      <w:pPr>
        <w:pStyle w:val="57"/>
        <w:rPr>
          <w:rFonts w:hint="default"/>
        </w:rPr>
      </w:pPr>
      <w:bookmarkStart w:id="34" w:name="_Toc24884212"/>
      <w:bookmarkStart w:id="35" w:name="_Toc24884219"/>
      <w:bookmarkStart w:id="36" w:name="_Toc17233326"/>
      <w:bookmarkStart w:id="37" w:name="_Toc17233334"/>
      <w:bookmarkStart w:id="38" w:name="_Toc26648466"/>
      <w:r>
        <w:t xml:space="preserve">本文件规定了“江西绿色生态 </w:t>
      </w:r>
      <w:r>
        <w:rPr>
          <w:rFonts w:hint="eastAsia"/>
          <w:lang w:val="en-US" w:eastAsia="zh-CN"/>
        </w:rPr>
        <w:t>可躺式午休课桌椅</w:t>
      </w:r>
      <w:r>
        <w:t>”的基本要求、评价指标和品牌互认。</w:t>
      </w:r>
    </w:p>
    <w:p w14:paraId="64D03027">
      <w:pPr>
        <w:pStyle w:val="57"/>
        <w:rPr>
          <w:rFonts w:hint="default"/>
        </w:rPr>
      </w:pPr>
      <w:r>
        <w:t>本文件适用于</w:t>
      </w:r>
      <w:r>
        <w:rPr>
          <w:rFonts w:hint="eastAsia"/>
          <w:lang w:val="en-US" w:eastAsia="zh-CN"/>
        </w:rPr>
        <w:t>可躺式午休课桌椅</w:t>
      </w:r>
      <w:r>
        <w:t>申请“江西绿色生态”评价或认证活动。</w:t>
      </w:r>
    </w:p>
    <w:p w14:paraId="519557B7">
      <w:pPr>
        <w:pStyle w:val="105"/>
        <w:spacing w:before="240" w:after="240"/>
        <w:rPr>
          <w:rFonts w:hint="default"/>
        </w:rPr>
      </w:pPr>
      <w:bookmarkStart w:id="39" w:name="_Toc97192965"/>
      <w:bookmarkStart w:id="40" w:name="_Toc26986531"/>
      <w:bookmarkStart w:id="41" w:name="_Toc26718931"/>
      <w:bookmarkStart w:id="42" w:name="_Toc26986772"/>
      <w:r>
        <w:t>规范性引用文件</w:t>
      </w:r>
      <w:bookmarkEnd w:id="34"/>
      <w:bookmarkEnd w:id="35"/>
      <w:bookmarkEnd w:id="36"/>
      <w:bookmarkEnd w:id="37"/>
      <w:bookmarkEnd w:id="38"/>
      <w:bookmarkEnd w:id="39"/>
      <w:bookmarkEnd w:id="40"/>
      <w:bookmarkEnd w:id="41"/>
      <w:bookmarkEnd w:id="42"/>
    </w:p>
    <w:sdt>
      <w:sdtPr>
        <w:id w:val="715848253"/>
        <w:placeholder>
          <w:docPart w:val="394061654F2142A490B713CCD9ED8B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FE03BB9">
          <w:pPr>
            <w:pStyle w:val="57"/>
            <w:rPr>
              <w:rFonts w:hint="default"/>
            </w:rPr>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448616">
      <w:pPr>
        <w:pStyle w:val="57"/>
        <w:rPr>
          <w:rFonts w:hint="default" w:hAnsi="宋体"/>
        </w:rPr>
      </w:pPr>
      <w:bookmarkStart w:id="43" w:name="_Toc97192966"/>
      <w:r>
        <w:rPr>
          <w:rFonts w:hAnsi="宋体"/>
        </w:rPr>
        <w:t>GB/T 3324  木家具通用技术条件</w:t>
      </w:r>
    </w:p>
    <w:p w14:paraId="21F47CCE">
      <w:pPr>
        <w:pStyle w:val="57"/>
        <w:rPr>
          <w:rFonts w:hint="default" w:hAnsi="宋体"/>
        </w:rPr>
      </w:pPr>
      <w:r>
        <w:rPr>
          <w:rFonts w:hAnsi="宋体"/>
        </w:rPr>
        <w:t>GB/T 3325  金属家具通用技术条件</w:t>
      </w:r>
    </w:p>
    <w:p w14:paraId="15D02F35">
      <w:pPr>
        <w:pStyle w:val="57"/>
        <w:rPr>
          <w:rFonts w:hint="default" w:hAnsi="宋体"/>
        </w:rPr>
      </w:pPr>
      <w:r>
        <w:rPr>
          <w:rFonts w:hAnsi="宋体"/>
        </w:rPr>
        <w:t>GB/T 4893.1  家具表面耐冷液测定法</w:t>
      </w:r>
    </w:p>
    <w:p w14:paraId="1535A6CC">
      <w:pPr>
        <w:pStyle w:val="57"/>
        <w:rPr>
          <w:rFonts w:hint="default" w:hAnsi="宋体"/>
        </w:rPr>
      </w:pPr>
      <w:r>
        <w:rPr>
          <w:rFonts w:hAnsi="宋体"/>
        </w:rPr>
        <w:t>GB/T 4893.9  家具表面漆膜理化性能试验 第9部分：抗冲击测定法</w:t>
      </w:r>
    </w:p>
    <w:p w14:paraId="59622114">
      <w:pPr>
        <w:pStyle w:val="57"/>
        <w:rPr>
          <w:rFonts w:hint="default"/>
        </w:rPr>
      </w:pPr>
      <w:r>
        <w:rPr>
          <w:rFonts w:hAnsi="宋体"/>
        </w:rPr>
        <w:t>GB 8978  污水综合排放标准</w:t>
      </w:r>
    </w:p>
    <w:p w14:paraId="04B73AAC">
      <w:pPr>
        <w:pStyle w:val="57"/>
        <w:rPr>
          <w:rFonts w:hint="default" w:hAnsi="宋体"/>
        </w:rPr>
      </w:pPr>
      <w:r>
        <w:rPr>
          <w:rFonts w:hAnsi="宋体"/>
        </w:rPr>
        <w:t>GB 9078  工业炉窑大气污染物排放标准</w:t>
      </w:r>
    </w:p>
    <w:p w14:paraId="2C557FBA">
      <w:pPr>
        <w:pStyle w:val="57"/>
        <w:rPr>
          <w:rFonts w:hint="default" w:hAnsi="宋体"/>
        </w:rPr>
      </w:pPr>
      <w:r>
        <w:rPr>
          <w:rFonts w:hAnsi="宋体"/>
        </w:rPr>
        <w:t>GB/T 10357.1  家具力学性能试验 第1部分：桌类强度和耐久性</w:t>
      </w:r>
    </w:p>
    <w:p w14:paraId="65F08F2D">
      <w:pPr>
        <w:pStyle w:val="57"/>
        <w:rPr>
          <w:rFonts w:hint="default" w:hAnsi="宋体"/>
        </w:rPr>
      </w:pPr>
      <w:r>
        <w:rPr>
          <w:rFonts w:hAnsi="宋体"/>
        </w:rPr>
        <w:t>GB/T 10357.3  家具力学性能试验 第3部分：椅凳类强度和耐久性</w:t>
      </w:r>
    </w:p>
    <w:p w14:paraId="4081DFAF">
      <w:pPr>
        <w:pStyle w:val="57"/>
        <w:rPr>
          <w:rFonts w:hint="default"/>
        </w:rPr>
      </w:pPr>
      <w:r>
        <w:rPr>
          <w:rFonts w:hAnsi="宋体"/>
        </w:rPr>
        <w:t>GB 12348  工业企业厂界环境噪声排放标准</w:t>
      </w:r>
    </w:p>
    <w:p w14:paraId="4E99368F">
      <w:pPr>
        <w:pStyle w:val="57"/>
        <w:rPr>
          <w:rFonts w:hint="default"/>
        </w:rPr>
      </w:pPr>
      <w:r>
        <w:rPr>
          <w:rFonts w:hAnsi="宋体"/>
        </w:rPr>
        <w:t>GB 13271  锅炉大气污染物排放标准</w:t>
      </w:r>
    </w:p>
    <w:p w14:paraId="67F70704">
      <w:pPr>
        <w:pStyle w:val="57"/>
        <w:rPr>
          <w:rFonts w:hint="default"/>
        </w:rPr>
      </w:pPr>
      <w:r>
        <w:rPr>
          <w:rFonts w:hAnsi="宋体"/>
        </w:rPr>
        <w:t>GB 16297  大气污染物综合排放标准</w:t>
      </w:r>
    </w:p>
    <w:p w14:paraId="06D878EA">
      <w:pPr>
        <w:pStyle w:val="57"/>
        <w:rPr>
          <w:rFonts w:hint="default"/>
        </w:rPr>
      </w:pPr>
      <w:r>
        <w:rPr>
          <w:rFonts w:hAnsi="宋体"/>
        </w:rPr>
        <w:t>GB 17167  用能单位能源计量器具配备和管理通则</w:t>
      </w:r>
    </w:p>
    <w:p w14:paraId="2AAEF8AB">
      <w:pPr>
        <w:pStyle w:val="57"/>
        <w:rPr>
          <w:rFonts w:hint="default"/>
        </w:rPr>
      </w:pPr>
      <w:r>
        <w:rPr>
          <w:rFonts w:hAnsi="宋体"/>
        </w:rPr>
        <w:t>GB/T 17657  人造板及饰面人造板理化性能试验方法</w:t>
      </w:r>
    </w:p>
    <w:p w14:paraId="7CFAD9D3">
      <w:pPr>
        <w:pStyle w:val="57"/>
        <w:rPr>
          <w:rFonts w:hint="default"/>
        </w:rPr>
      </w:pPr>
      <w:r>
        <w:rPr>
          <w:rFonts w:hAnsi="宋体"/>
        </w:rPr>
        <w:t>GB 18599  一般工业固体废弃物贮存和填埋污染控制标准</w:t>
      </w:r>
    </w:p>
    <w:p w14:paraId="18FCB568">
      <w:pPr>
        <w:pStyle w:val="57"/>
        <w:rPr>
          <w:rFonts w:hint="default" w:hAnsi="宋体"/>
        </w:rPr>
      </w:pPr>
      <w:r>
        <w:rPr>
          <w:rFonts w:hAnsi="宋体"/>
        </w:rPr>
        <w:t>GB/T 19001  质量管理体系 要求</w:t>
      </w:r>
    </w:p>
    <w:p w14:paraId="6BDB41EF">
      <w:pPr>
        <w:pStyle w:val="57"/>
        <w:rPr>
          <w:rFonts w:hint="default" w:hAnsi="宋体"/>
        </w:rPr>
      </w:pPr>
      <w:r>
        <w:rPr>
          <w:rFonts w:hAnsi="宋体"/>
        </w:rPr>
        <w:t>GB/T 23331  能源管理体系 要求及使用指南</w:t>
      </w:r>
    </w:p>
    <w:p w14:paraId="6B8716EB">
      <w:pPr>
        <w:pStyle w:val="57"/>
        <w:rPr>
          <w:rFonts w:hint="default"/>
        </w:rPr>
      </w:pPr>
      <w:r>
        <w:rPr>
          <w:rFonts w:hAnsi="宋体"/>
        </w:rPr>
        <w:t>GB/T 24001  环境管理体系 要求及使用指南</w:t>
      </w:r>
    </w:p>
    <w:p w14:paraId="77458827">
      <w:pPr>
        <w:pStyle w:val="57"/>
        <w:rPr>
          <w:rFonts w:hint="default" w:hAnsi="宋体"/>
        </w:rPr>
      </w:pPr>
      <w:r>
        <w:rPr>
          <w:rFonts w:hAnsi="宋体"/>
        </w:rPr>
        <w:t>GB/T 24256  产品生态设计通则</w:t>
      </w:r>
    </w:p>
    <w:p w14:paraId="371E5ABB">
      <w:pPr>
        <w:pStyle w:val="57"/>
        <w:rPr>
          <w:rFonts w:hint="default" w:hAnsi="宋体"/>
        </w:rPr>
      </w:pPr>
      <w:r>
        <w:rPr>
          <w:rFonts w:hAnsi="宋体"/>
        </w:rPr>
        <w:t>GB</w:t>
      </w:r>
      <w:r>
        <w:rPr>
          <w:rFonts w:hint="default" w:hAnsi="宋体"/>
        </w:rPr>
        <w:t xml:space="preserve"> 28007  </w:t>
      </w:r>
      <w:r>
        <w:rPr>
          <w:rFonts w:hAnsi="宋体"/>
        </w:rPr>
        <w:t>儿童</w:t>
      </w:r>
      <w:r>
        <w:rPr>
          <w:rFonts w:hint="default" w:hAnsi="宋体"/>
        </w:rPr>
        <w:t>家具</w:t>
      </w:r>
      <w:r>
        <w:rPr>
          <w:rFonts w:hAnsi="宋体"/>
        </w:rPr>
        <w:t>通用</w:t>
      </w:r>
      <w:r>
        <w:rPr>
          <w:rFonts w:hint="default" w:hAnsi="宋体"/>
        </w:rPr>
        <w:t>技术条件</w:t>
      </w:r>
    </w:p>
    <w:p w14:paraId="5E0409AD">
      <w:pPr>
        <w:pStyle w:val="57"/>
      </w:pPr>
      <w:r>
        <w:rPr>
          <w:rFonts w:hAnsi="宋体"/>
        </w:rPr>
        <w:t>GB</w:t>
      </w:r>
      <w:r>
        <w:rPr>
          <w:rFonts w:hint="default" w:hAnsi="宋体"/>
        </w:rPr>
        <w:t xml:space="preserve"> 28481  </w:t>
      </w:r>
      <w:r>
        <w:rPr>
          <w:rFonts w:hAnsi="宋体"/>
        </w:rPr>
        <w:t>塑料</w:t>
      </w:r>
      <w:r>
        <w:rPr>
          <w:rFonts w:hint="default" w:hAnsi="宋体"/>
        </w:rPr>
        <w:t>家具</w:t>
      </w:r>
      <w:r>
        <w:rPr>
          <w:rFonts w:hAnsi="宋体"/>
        </w:rPr>
        <w:t>中</w:t>
      </w:r>
      <w:r>
        <w:rPr>
          <w:rFonts w:hint="default" w:hAnsi="宋体"/>
        </w:rPr>
        <w:t>有害物质限量</w:t>
      </w:r>
    </w:p>
    <w:p w14:paraId="0EFB82C3">
      <w:pPr>
        <w:pStyle w:val="57"/>
        <w:rPr>
          <w:rFonts w:hint="default" w:hAnsi="宋体"/>
        </w:rPr>
      </w:pPr>
      <w:r>
        <w:rPr>
          <w:rFonts w:hAnsi="宋体"/>
        </w:rPr>
        <w:t>GB/T 28747  资源循环利用产品评价指标体系编制通则</w:t>
      </w:r>
    </w:p>
    <w:p w14:paraId="38E4724C">
      <w:pPr>
        <w:pStyle w:val="57"/>
        <w:rPr>
          <w:rFonts w:hint="default" w:hAnsi="宋体"/>
        </w:rPr>
      </w:pPr>
      <w:r>
        <w:rPr>
          <w:rFonts w:hAnsi="宋体"/>
        </w:rPr>
        <w:t>GB/T 29115  工业企业节约原材料评价导则</w:t>
      </w:r>
    </w:p>
    <w:p w14:paraId="742E1C51">
      <w:pPr>
        <w:pStyle w:val="57"/>
        <w:rPr>
          <w:rFonts w:hAnsi="宋体"/>
        </w:rPr>
      </w:pPr>
      <w:r>
        <w:rPr>
          <w:rFonts w:hAnsi="宋体"/>
        </w:rPr>
        <w:t>GB</w:t>
      </w:r>
      <w:r>
        <w:rPr>
          <w:rFonts w:hint="default" w:hAnsi="宋体"/>
        </w:rPr>
        <w:t xml:space="preserve">/T 33000  </w:t>
      </w:r>
      <w:r>
        <w:rPr>
          <w:rFonts w:hAnsi="宋体"/>
        </w:rPr>
        <w:t>企业</w:t>
      </w:r>
      <w:r>
        <w:rPr>
          <w:rFonts w:hint="default" w:hAnsi="宋体"/>
        </w:rPr>
        <w:t>安全生产</w:t>
      </w:r>
      <w:r>
        <w:rPr>
          <w:rFonts w:hAnsi="宋体"/>
        </w:rPr>
        <w:t>标准</w:t>
      </w:r>
      <w:r>
        <w:rPr>
          <w:rFonts w:hint="default" w:hAnsi="宋体"/>
        </w:rPr>
        <w:t>化</w:t>
      </w:r>
      <w:r>
        <w:rPr>
          <w:rFonts w:hAnsi="宋体"/>
        </w:rPr>
        <w:t>基本</w:t>
      </w:r>
      <w:r>
        <w:rPr>
          <w:rFonts w:hint="default" w:hAnsi="宋体"/>
        </w:rPr>
        <w:t>规范</w:t>
      </w:r>
    </w:p>
    <w:p w14:paraId="1112EA42">
      <w:pPr>
        <w:pStyle w:val="57"/>
        <w:rPr>
          <w:rFonts w:hint="default" w:hAnsi="宋体"/>
        </w:rPr>
      </w:pPr>
      <w:r>
        <w:rPr>
          <w:rFonts w:hAnsi="宋体"/>
        </w:rPr>
        <w:t>GB/T 32161  生态设计产品评价通则</w:t>
      </w:r>
    </w:p>
    <w:p w14:paraId="5E1EFA20">
      <w:pPr>
        <w:pStyle w:val="57"/>
        <w:rPr>
          <w:rFonts w:hint="default" w:hAnsi="宋体"/>
        </w:rPr>
      </w:pPr>
      <w:r>
        <w:rPr>
          <w:rFonts w:hAnsi="宋体"/>
        </w:rPr>
        <w:t>GB/T 32487  塑料家具通用技术条件</w:t>
      </w:r>
    </w:p>
    <w:p w14:paraId="59405A7C">
      <w:pPr>
        <w:pStyle w:val="57"/>
        <w:rPr>
          <w:rFonts w:hint="default" w:hAnsi="宋体"/>
        </w:rPr>
      </w:pPr>
      <w:r>
        <w:rPr>
          <w:rFonts w:hAnsi="宋体"/>
        </w:rPr>
        <w:t>GB/T 33635  绿色制造 制造业企业绿色供应链管理 导则</w:t>
      </w:r>
    </w:p>
    <w:p w14:paraId="5B69E866">
      <w:pPr>
        <w:pStyle w:val="57"/>
        <w:rPr>
          <w:rFonts w:hint="default" w:hAnsi="宋体"/>
        </w:rPr>
      </w:pPr>
      <w:r>
        <w:rPr>
          <w:rFonts w:hAnsi="宋体"/>
        </w:rPr>
        <w:t>GB/T 35607  绿色产品评价 家具</w:t>
      </w:r>
    </w:p>
    <w:p w14:paraId="7ECBF77C">
      <w:pPr>
        <w:pStyle w:val="57"/>
        <w:rPr>
          <w:rFonts w:hint="default" w:hAnsi="宋体"/>
        </w:rPr>
      </w:pPr>
      <w:r>
        <w:rPr>
          <w:rFonts w:hAnsi="宋体"/>
        </w:rPr>
        <w:t>GB/T 38702  供应链安全管理体系 实施供应链安全、评估和计划的最佳实践 要求和指南</w:t>
      </w:r>
    </w:p>
    <w:p w14:paraId="2AC4C440">
      <w:pPr>
        <w:pStyle w:val="57"/>
        <w:rPr>
          <w:rFonts w:hint="default" w:hAnsi="宋体"/>
        </w:rPr>
      </w:pPr>
      <w:r>
        <w:rPr>
          <w:rFonts w:hAnsi="宋体"/>
        </w:rPr>
        <w:t>GB/T 45001  职业健康安全管理体系 要求及使用指南</w:t>
      </w:r>
    </w:p>
    <w:p w14:paraId="35CC37A6">
      <w:pPr>
        <w:pStyle w:val="57"/>
        <w:rPr>
          <w:rFonts w:hint="default" w:hAnsi="宋体"/>
        </w:rPr>
      </w:pPr>
      <w:r>
        <w:rPr>
          <w:rFonts w:hAnsi="宋体"/>
        </w:rPr>
        <w:t>GBZ 2.1  工作场所有害因素职业接触限值 第1部门：化学有害因素</w:t>
      </w:r>
    </w:p>
    <w:p w14:paraId="7CD41FCA">
      <w:pPr>
        <w:pStyle w:val="57"/>
        <w:rPr>
          <w:rFonts w:hint="default" w:hAnsi="宋体"/>
        </w:rPr>
      </w:pPr>
      <w:r>
        <w:rPr>
          <w:rFonts w:hAnsi="宋体"/>
        </w:rPr>
        <w:t>GBZ 159  工作场所空气中有害物质监测的采样规范</w:t>
      </w:r>
    </w:p>
    <w:p w14:paraId="75AF95F9">
      <w:pPr>
        <w:pStyle w:val="57"/>
        <w:rPr>
          <w:rFonts w:hint="default" w:hAnsi="宋体"/>
        </w:rPr>
      </w:pPr>
      <w:r>
        <w:rPr>
          <w:rFonts w:hAnsi="宋体"/>
        </w:rPr>
        <w:t>GBZ/T 160（所有部分）  工作场所空气有害物质测定</w:t>
      </w:r>
    </w:p>
    <w:p w14:paraId="66639D21">
      <w:pPr>
        <w:pStyle w:val="57"/>
        <w:rPr>
          <w:rFonts w:hint="default" w:hAnsi="宋体"/>
        </w:rPr>
      </w:pPr>
      <w:r>
        <w:rPr>
          <w:rFonts w:hAnsi="宋体"/>
        </w:rPr>
        <w:t>GBZ/T 192.2  工作场所空气中粉尘测定 第2部分：呼吸性粉尘浓度</w:t>
      </w:r>
    </w:p>
    <w:p w14:paraId="111D6CE1">
      <w:pPr>
        <w:pStyle w:val="57"/>
        <w:rPr>
          <w:rFonts w:hint="default" w:hAnsi="宋体"/>
        </w:rPr>
      </w:pPr>
      <w:r>
        <w:rPr>
          <w:rFonts w:hAnsi="宋体"/>
        </w:rPr>
        <w:t>QB/T 4071  课桌椅</w:t>
      </w:r>
    </w:p>
    <w:p w14:paraId="6F037E5F">
      <w:pPr>
        <w:pStyle w:val="57"/>
        <w:rPr>
          <w:rFonts w:hint="default" w:hAnsi="宋体"/>
        </w:rPr>
      </w:pPr>
      <w:r>
        <w:rPr>
          <w:rFonts w:hAnsi="宋体"/>
        </w:rPr>
        <w:t>QB/T 4449  家具表面硬质覆面材料剥离强度的测定</w:t>
      </w:r>
    </w:p>
    <w:p w14:paraId="23F7FF0E">
      <w:pPr>
        <w:pStyle w:val="57"/>
        <w:rPr>
          <w:rFonts w:hint="default"/>
        </w:rPr>
      </w:pPr>
      <w:r>
        <w:rPr>
          <w:rFonts w:hAnsi="宋体"/>
        </w:rPr>
        <w:t>DB36/T 420  江西省工业企业主要产品用水定额</w:t>
      </w:r>
    </w:p>
    <w:p w14:paraId="522F0A5B">
      <w:pPr>
        <w:pStyle w:val="57"/>
        <w:rPr>
          <w:rFonts w:hAnsi="宋体"/>
        </w:rPr>
      </w:pPr>
      <w:r>
        <w:rPr>
          <w:rFonts w:hAnsi="宋体"/>
        </w:rPr>
        <w:t>DB36/T 1138  “江西绿色生态”品牌评价通用要求</w:t>
      </w:r>
    </w:p>
    <w:p w14:paraId="7E51C724">
      <w:pPr>
        <w:pStyle w:val="57"/>
        <w:rPr>
          <w:rFonts w:hint="default" w:hAnsi="宋体" w:eastAsia="宋体"/>
          <w:lang w:val="en-US" w:eastAsia="zh-CN"/>
        </w:rPr>
      </w:pPr>
      <w:r>
        <w:rPr>
          <w:rFonts w:hint="eastAsia" w:hAnsi="宋体"/>
          <w:lang w:val="en-US" w:eastAsia="zh-CN"/>
        </w:rPr>
        <w:t>T/JYBZ 031-2024 中小学生午休课椅</w:t>
      </w:r>
    </w:p>
    <w:p w14:paraId="255A876E">
      <w:pPr>
        <w:pStyle w:val="105"/>
        <w:spacing w:before="240" w:after="240"/>
        <w:rPr>
          <w:rFonts w:hint="default"/>
        </w:rPr>
      </w:pPr>
      <w:r>
        <w:rPr>
          <w:szCs w:val="21"/>
        </w:rPr>
        <w:t>术语和定义</w:t>
      </w:r>
      <w:bookmarkEnd w:id="43"/>
    </w:p>
    <w:sdt>
      <w:sdtPr>
        <w:id w:val="-1909835108"/>
        <w:placeholder>
          <w:docPart w:val="2156165AD8104593801D76694ECF42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D6E509">
          <w:pPr>
            <w:pStyle w:val="57"/>
            <w:rPr>
              <w:rFonts w:hint="default"/>
            </w:rPr>
          </w:pPr>
          <w:bookmarkStart w:id="44" w:name="_Toc26986532"/>
          <w:bookmarkEnd w:id="44"/>
          <w:r>
            <w:t>DB36/T 1138</w:t>
          </w:r>
          <w:r>
            <w:rPr>
              <w:rFonts w:cs="Times New Roman"/>
            </w:rPr>
            <w:t>界定的以及下列术语和定义适用于本文件。</w:t>
          </w:r>
        </w:p>
      </w:sdtContent>
    </w:sdt>
    <w:p w14:paraId="1305D2ED">
      <w:pPr>
        <w:pStyle w:val="224"/>
        <w:spacing w:before="2" w:after="0" w:afterLines="0"/>
        <w:rPr>
          <w:rFonts w:hint="default"/>
        </w:rPr>
      </w:pPr>
    </w:p>
    <w:p w14:paraId="3055F646">
      <w:pPr>
        <w:pStyle w:val="224"/>
        <w:numPr>
          <w:ilvl w:val="1"/>
          <w:numId w:val="0"/>
        </w:numPr>
        <w:spacing w:before="2" w:after="0" w:afterLines="0"/>
        <w:ind w:left="-420" w:leftChars="-200" w:firstLine="840" w:firstLineChars="400"/>
        <w:rPr>
          <w:rFonts w:hint="default"/>
        </w:rPr>
      </w:pPr>
      <w:r>
        <w:t xml:space="preserve">江西绿色生态 </w:t>
      </w:r>
      <w:r>
        <w:rPr>
          <w:rFonts w:hint="eastAsia"/>
        </w:rPr>
        <w:t>可躺式午休课桌椅</w:t>
      </w:r>
      <w:r>
        <w:t xml:space="preserve"> Jiangxi green ecology—</w:t>
      </w:r>
      <w:r>
        <w:rPr>
          <w:rFonts w:hint="eastAsia"/>
        </w:rPr>
        <w:t>Reclining desk and chair for lunch break</w:t>
      </w:r>
    </w:p>
    <w:p w14:paraId="2F24F01A">
      <w:pPr>
        <w:pStyle w:val="57"/>
        <w:ind w:left="210" w:leftChars="100" w:firstLine="210" w:firstLineChars="100"/>
        <w:rPr>
          <w:rFonts w:hint="default"/>
        </w:rPr>
      </w:pPr>
      <w:r>
        <w:t>符合“江西绿色生态”品牌评价通用要求及本文件技术要求，并通过“江西绿色生态”品牌评价或认证的</w:t>
      </w:r>
      <w:r>
        <w:rPr>
          <w:rFonts w:hint="eastAsia"/>
          <w:lang w:val="en-US" w:eastAsia="zh-CN"/>
        </w:rPr>
        <w:t>可躺式午休课桌椅</w:t>
      </w:r>
      <w:r>
        <w:t>产品。</w:t>
      </w:r>
    </w:p>
    <w:p w14:paraId="342D62E6">
      <w:pPr>
        <w:pStyle w:val="105"/>
        <w:spacing w:before="240" w:after="240"/>
        <w:rPr>
          <w:rFonts w:hint="default"/>
        </w:rPr>
      </w:pPr>
      <w:r>
        <w:t>基本要求</w:t>
      </w:r>
    </w:p>
    <w:p w14:paraId="19F05C7D">
      <w:pPr>
        <w:pStyle w:val="106"/>
        <w:spacing w:before="120" w:after="120"/>
        <w:rPr>
          <w:rFonts w:hint="default"/>
        </w:rPr>
      </w:pPr>
      <w:r>
        <w:t>主体要求</w:t>
      </w:r>
    </w:p>
    <w:p w14:paraId="56410386">
      <w:pPr>
        <w:pStyle w:val="166"/>
        <w:spacing w:before="2" w:after="2"/>
        <w:rPr>
          <w:rFonts w:hint="default"/>
          <w:highlight w:val="none"/>
        </w:rPr>
      </w:pPr>
      <w:r>
        <w:rPr>
          <w:highlight w:val="none"/>
        </w:rPr>
        <w:t>生产企业应按照GB/T 19001、GB/T 24001、GB/T 23331和GB/T 45001的要求，分别建立质量管理体系、环境管理体系、能源管理体系、职业健康安全管理体系，并取得质量</w:t>
      </w:r>
      <w:r>
        <w:rPr>
          <w:rFonts w:hint="default"/>
          <w:highlight w:val="none"/>
        </w:rPr>
        <w:t>管理体系、环境管理体系、能源管理管理体系、职业健康管理体系认证证书</w:t>
      </w:r>
      <w:r>
        <w:rPr>
          <w:highlight w:val="none"/>
        </w:rPr>
        <w:t>，未</w:t>
      </w:r>
      <w:r>
        <w:rPr>
          <w:rFonts w:hint="default"/>
          <w:highlight w:val="none"/>
        </w:rPr>
        <w:t>取得</w:t>
      </w:r>
      <w:r>
        <w:rPr>
          <w:highlight w:val="none"/>
        </w:rPr>
        <w:t>体系</w:t>
      </w:r>
      <w:r>
        <w:rPr>
          <w:rFonts w:hint="default"/>
          <w:highlight w:val="none"/>
        </w:rPr>
        <w:t>认证证书的，</w:t>
      </w:r>
      <w:r>
        <w:rPr>
          <w:highlight w:val="none"/>
        </w:rPr>
        <w:t>应</w:t>
      </w:r>
      <w:r>
        <w:rPr>
          <w:rFonts w:hint="default"/>
          <w:highlight w:val="none"/>
        </w:rPr>
        <w:t>制定并实施</w:t>
      </w:r>
      <w:r>
        <w:rPr>
          <w:highlight w:val="none"/>
        </w:rPr>
        <w:t>运行</w:t>
      </w:r>
      <w:r>
        <w:rPr>
          <w:rFonts w:hint="default"/>
          <w:highlight w:val="none"/>
        </w:rPr>
        <w:t>相关</w:t>
      </w:r>
      <w:r>
        <w:rPr>
          <w:highlight w:val="none"/>
        </w:rPr>
        <w:t>体系</w:t>
      </w:r>
      <w:r>
        <w:rPr>
          <w:rFonts w:hint="default"/>
          <w:highlight w:val="none"/>
        </w:rPr>
        <w:t>制度</w:t>
      </w:r>
      <w:r>
        <w:rPr>
          <w:highlight w:val="none"/>
        </w:rPr>
        <w:t>。</w:t>
      </w:r>
    </w:p>
    <w:p w14:paraId="11209D30">
      <w:pPr>
        <w:pStyle w:val="166"/>
        <w:spacing w:before="2" w:after="2"/>
        <w:rPr>
          <w:rFonts w:hint="default"/>
          <w:highlight w:val="none"/>
        </w:rPr>
      </w:pPr>
      <w:r>
        <w:rPr>
          <w:highlight w:val="none"/>
        </w:rPr>
        <w:t>企业安全</w:t>
      </w:r>
      <w:r>
        <w:rPr>
          <w:rFonts w:hint="default"/>
          <w:highlight w:val="none"/>
        </w:rPr>
        <w:t>管理应达到</w:t>
      </w:r>
      <w:r>
        <w:rPr>
          <w:highlight w:val="none"/>
        </w:rPr>
        <w:t>GB</w:t>
      </w:r>
      <w:r>
        <w:rPr>
          <w:rFonts w:hint="default"/>
          <w:highlight w:val="none"/>
        </w:rPr>
        <w:t>/T 33000</w:t>
      </w:r>
      <w:r>
        <w:rPr>
          <w:highlight w:val="none"/>
        </w:rPr>
        <w:t>的</w:t>
      </w:r>
      <w:r>
        <w:rPr>
          <w:rFonts w:hint="default"/>
          <w:highlight w:val="none"/>
        </w:rPr>
        <w:t>要求。</w:t>
      </w:r>
    </w:p>
    <w:p w14:paraId="5A4510C4">
      <w:pPr>
        <w:pStyle w:val="166"/>
        <w:spacing w:before="2" w:after="2"/>
        <w:rPr>
          <w:highlight w:val="none"/>
        </w:rPr>
      </w:pPr>
      <w:r>
        <w:rPr>
          <w:highlight w:val="none"/>
        </w:rPr>
        <w:t>近三年无重大安全生产事故、质量安全或重大环境污染事故。</w:t>
      </w:r>
    </w:p>
    <w:p w14:paraId="746CBBE4">
      <w:pPr>
        <w:pStyle w:val="106"/>
        <w:spacing w:before="120" w:after="120"/>
        <w:rPr>
          <w:rFonts w:hint="default"/>
        </w:rPr>
      </w:pPr>
      <w:r>
        <w:t>产品质量要求</w:t>
      </w:r>
    </w:p>
    <w:p w14:paraId="5267BB53">
      <w:pPr>
        <w:pStyle w:val="166"/>
        <w:spacing w:before="2" w:after="2"/>
        <w:rPr>
          <w:highlight w:val="none"/>
        </w:rPr>
      </w:pPr>
      <w:r>
        <w:rPr>
          <w:rFonts w:hint="eastAsia"/>
          <w:highlight w:val="none"/>
          <w:lang w:val="en-US" w:eastAsia="zh-CN"/>
        </w:rPr>
        <w:t>外观要求(木制件、木制件漆膜、金属件、塑料件、木工要求)</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4.1</w:t>
      </w:r>
      <w:r>
        <w:rPr>
          <w:highlight w:val="none"/>
        </w:rPr>
        <w:t>的</w:t>
      </w:r>
      <w:r>
        <w:rPr>
          <w:rFonts w:hint="default"/>
          <w:highlight w:val="none"/>
        </w:rPr>
        <w:t>规定。</w:t>
      </w:r>
    </w:p>
    <w:p w14:paraId="7C243EE6">
      <w:pPr>
        <w:pStyle w:val="166"/>
        <w:spacing w:before="2" w:after="2"/>
        <w:rPr>
          <w:highlight w:val="none"/>
        </w:rPr>
      </w:pPr>
      <w:r>
        <w:rPr>
          <w:rFonts w:hint="eastAsia"/>
          <w:highlight w:val="none"/>
          <w:lang w:val="en-US" w:eastAsia="zh-CN"/>
        </w:rPr>
        <w:t>外观要求(人造板件、软包件)</w:t>
      </w:r>
      <w:r>
        <w:rPr>
          <w:highlight w:val="none"/>
        </w:rPr>
        <w:t>应符合</w:t>
      </w:r>
      <w:r>
        <w:rPr>
          <w:rFonts w:hint="eastAsia"/>
          <w:highlight w:val="none"/>
          <w:lang w:val="en-US" w:eastAsia="zh-CN"/>
        </w:rPr>
        <w:t>GB/T 3324-2017</w:t>
      </w:r>
      <w:r>
        <w:rPr>
          <w:highlight w:val="none"/>
        </w:rPr>
        <w:t>中</w:t>
      </w:r>
      <w:r>
        <w:rPr>
          <w:rFonts w:hint="eastAsia"/>
          <w:highlight w:val="none"/>
          <w:lang w:val="en-US" w:eastAsia="zh-CN"/>
        </w:rPr>
        <w:t>表3</w:t>
      </w:r>
      <w:r>
        <w:rPr>
          <w:highlight w:val="none"/>
        </w:rPr>
        <w:t>的</w:t>
      </w:r>
      <w:r>
        <w:rPr>
          <w:rFonts w:hint="default"/>
          <w:highlight w:val="none"/>
        </w:rPr>
        <w:t>规定。</w:t>
      </w:r>
    </w:p>
    <w:p w14:paraId="014AC0F4">
      <w:pPr>
        <w:pStyle w:val="166"/>
        <w:spacing w:before="2" w:after="2"/>
        <w:rPr>
          <w:highlight w:val="none"/>
        </w:rPr>
      </w:pPr>
      <w:r>
        <w:rPr>
          <w:rFonts w:hint="eastAsia"/>
          <w:highlight w:val="none"/>
          <w:lang w:val="en-US" w:eastAsia="zh-CN"/>
        </w:rPr>
        <w:t>主要尺寸和尺寸偏差</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5.2</w:t>
      </w:r>
      <w:r>
        <w:rPr>
          <w:highlight w:val="none"/>
        </w:rPr>
        <w:t>的</w:t>
      </w:r>
      <w:r>
        <w:rPr>
          <w:rFonts w:hint="default"/>
          <w:highlight w:val="none"/>
        </w:rPr>
        <w:t>规定。</w:t>
      </w:r>
    </w:p>
    <w:p w14:paraId="4C8AA9BB">
      <w:pPr>
        <w:pStyle w:val="166"/>
        <w:spacing w:before="2" w:after="2"/>
        <w:rPr>
          <w:highlight w:val="none"/>
        </w:rPr>
      </w:pPr>
      <w:r>
        <w:rPr>
          <w:rFonts w:hint="eastAsia"/>
          <w:highlight w:val="none"/>
          <w:lang w:val="en-US" w:eastAsia="zh-CN"/>
        </w:rPr>
        <w:t>形状位置公差</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5.3</w:t>
      </w:r>
      <w:r>
        <w:rPr>
          <w:highlight w:val="none"/>
        </w:rPr>
        <w:t>的</w:t>
      </w:r>
      <w:r>
        <w:rPr>
          <w:rFonts w:hint="default"/>
          <w:highlight w:val="none"/>
        </w:rPr>
        <w:t>规定。</w:t>
      </w:r>
    </w:p>
    <w:p w14:paraId="74A26242">
      <w:pPr>
        <w:pStyle w:val="166"/>
        <w:spacing w:before="2" w:after="2"/>
        <w:rPr>
          <w:highlight w:val="none"/>
        </w:rPr>
      </w:pPr>
      <w:r>
        <w:rPr>
          <w:rFonts w:hint="eastAsia"/>
          <w:highlight w:val="none"/>
          <w:lang w:val="en-US" w:eastAsia="zh-CN"/>
        </w:rPr>
        <w:t>表面理化性能（漆膜、软硬质覆面、金属喷涂层、金属电镀层、塑料面、封边条）</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表4</w:t>
      </w:r>
      <w:r>
        <w:rPr>
          <w:highlight w:val="none"/>
        </w:rPr>
        <w:t>的</w:t>
      </w:r>
      <w:r>
        <w:rPr>
          <w:rFonts w:hint="default"/>
          <w:highlight w:val="none"/>
        </w:rPr>
        <w:t>规定。</w:t>
      </w:r>
    </w:p>
    <w:p w14:paraId="41A6F3E7">
      <w:pPr>
        <w:pStyle w:val="166"/>
        <w:spacing w:before="2" w:after="2"/>
        <w:rPr>
          <w:highlight w:val="none"/>
        </w:rPr>
      </w:pPr>
      <w:r>
        <w:rPr>
          <w:rFonts w:hint="eastAsia"/>
          <w:highlight w:val="none"/>
          <w:lang w:val="en-US" w:eastAsia="zh-CN"/>
        </w:rPr>
        <w:t>表面理化性能（覆面材料）</w:t>
      </w:r>
      <w:r>
        <w:rPr>
          <w:highlight w:val="none"/>
        </w:rPr>
        <w:t>应符合</w:t>
      </w:r>
      <w:r>
        <w:rPr>
          <w:rFonts w:hint="eastAsia"/>
          <w:highlight w:val="none"/>
          <w:lang w:val="en-US" w:eastAsia="zh-CN"/>
        </w:rPr>
        <w:t>GB/T 3325-2017</w:t>
      </w:r>
      <w:r>
        <w:rPr>
          <w:highlight w:val="none"/>
        </w:rPr>
        <w:t>中</w:t>
      </w:r>
      <w:r>
        <w:rPr>
          <w:rFonts w:hint="eastAsia"/>
          <w:highlight w:val="none"/>
          <w:lang w:val="en-US" w:eastAsia="zh-CN"/>
        </w:rPr>
        <w:t>表5</w:t>
      </w:r>
      <w:r>
        <w:rPr>
          <w:highlight w:val="none"/>
        </w:rPr>
        <w:t>的</w:t>
      </w:r>
      <w:r>
        <w:rPr>
          <w:rFonts w:hint="default"/>
          <w:highlight w:val="none"/>
        </w:rPr>
        <w:t>规定。</w:t>
      </w:r>
    </w:p>
    <w:p w14:paraId="2A1E173E">
      <w:pPr>
        <w:pStyle w:val="166"/>
        <w:spacing w:before="2" w:after="2"/>
        <w:rPr>
          <w:highlight w:val="none"/>
        </w:rPr>
      </w:pPr>
      <w:r>
        <w:rPr>
          <w:rFonts w:hint="eastAsia"/>
          <w:highlight w:val="none"/>
          <w:lang w:val="en-US" w:eastAsia="zh-CN"/>
        </w:rPr>
        <w:t>安全要求</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5.5</w:t>
      </w:r>
      <w:r>
        <w:rPr>
          <w:highlight w:val="none"/>
        </w:rPr>
        <w:t>的</w:t>
      </w:r>
      <w:r>
        <w:rPr>
          <w:rFonts w:hint="default"/>
          <w:highlight w:val="none"/>
        </w:rPr>
        <w:t>规定。</w:t>
      </w:r>
    </w:p>
    <w:p w14:paraId="3BD22C14">
      <w:pPr>
        <w:pStyle w:val="166"/>
        <w:spacing w:before="2" w:after="2"/>
        <w:rPr>
          <w:highlight w:val="none"/>
        </w:rPr>
      </w:pPr>
      <w:r>
        <w:rPr>
          <w:rFonts w:hint="eastAsia"/>
          <w:highlight w:val="none"/>
          <w:lang w:val="en-US" w:eastAsia="zh-CN"/>
        </w:rPr>
        <w:t>安全要求（折叠机构）</w:t>
      </w:r>
      <w:r>
        <w:rPr>
          <w:highlight w:val="none"/>
        </w:rPr>
        <w:t>应符合GB</w:t>
      </w:r>
      <w:r>
        <w:rPr>
          <w:rFonts w:hint="default"/>
          <w:highlight w:val="none"/>
        </w:rPr>
        <w:t xml:space="preserve"> 28007-2011</w:t>
      </w:r>
      <w:r>
        <w:rPr>
          <w:highlight w:val="none"/>
        </w:rPr>
        <w:t>中</w:t>
      </w:r>
      <w:r>
        <w:rPr>
          <w:rFonts w:hint="eastAsia"/>
          <w:highlight w:val="none"/>
          <w:lang w:val="en-US" w:eastAsia="zh-CN"/>
        </w:rPr>
        <w:t>5.1.4</w:t>
      </w:r>
      <w:r>
        <w:rPr>
          <w:highlight w:val="none"/>
        </w:rPr>
        <w:t>的</w:t>
      </w:r>
      <w:r>
        <w:rPr>
          <w:rFonts w:hint="default"/>
          <w:highlight w:val="none"/>
        </w:rPr>
        <w:t>规定。</w:t>
      </w:r>
    </w:p>
    <w:p w14:paraId="2014FB2F">
      <w:pPr>
        <w:pStyle w:val="166"/>
        <w:spacing w:before="2" w:after="2"/>
        <w:rPr>
          <w:highlight w:val="none"/>
        </w:rPr>
      </w:pPr>
      <w:r>
        <w:rPr>
          <w:rFonts w:hint="eastAsia"/>
          <w:highlight w:val="none"/>
          <w:lang w:val="en-US" w:eastAsia="zh-CN"/>
        </w:rPr>
        <w:t>力学性能</w:t>
      </w:r>
      <w:r>
        <w:rPr>
          <w:highlight w:val="none"/>
        </w:rPr>
        <w:t>应符合</w:t>
      </w:r>
      <w:r>
        <w:rPr>
          <w:rFonts w:hint="eastAsia"/>
          <w:highlight w:val="none"/>
          <w:lang w:val="en-US" w:eastAsia="zh-CN"/>
        </w:rPr>
        <w:t>QB/T 4071-2021</w:t>
      </w:r>
      <w:r>
        <w:rPr>
          <w:highlight w:val="none"/>
        </w:rPr>
        <w:t>中</w:t>
      </w:r>
      <w:r>
        <w:rPr>
          <w:rFonts w:hint="eastAsia"/>
          <w:highlight w:val="none"/>
          <w:lang w:val="en-US" w:eastAsia="zh-CN"/>
        </w:rPr>
        <w:t>5.6</w:t>
      </w:r>
      <w:r>
        <w:rPr>
          <w:highlight w:val="none"/>
        </w:rPr>
        <w:t>的</w:t>
      </w:r>
      <w:r>
        <w:rPr>
          <w:rFonts w:hint="default"/>
          <w:highlight w:val="none"/>
        </w:rPr>
        <w:t>规定。</w:t>
      </w:r>
    </w:p>
    <w:p w14:paraId="44CB3935">
      <w:pPr>
        <w:pStyle w:val="166"/>
        <w:spacing w:before="2" w:after="2"/>
        <w:rPr>
          <w:highlight w:val="none"/>
        </w:rPr>
      </w:pPr>
      <w:r>
        <w:rPr>
          <w:rFonts w:hint="eastAsia"/>
          <w:highlight w:val="none"/>
          <w:lang w:eastAsia="zh-CN"/>
        </w:rPr>
        <w:t>力学性能（</w:t>
      </w:r>
      <w:r>
        <w:rPr>
          <w:rFonts w:hint="eastAsia"/>
          <w:highlight w:val="none"/>
          <w:lang w:val="en-US" w:eastAsia="zh-CN"/>
        </w:rPr>
        <w:t>整体承载能力、搁腿耐久性、搁腿静载荷、充分向后倾斜座椅稳定性、角度调节机构耐久性、升降机构耐久性</w:t>
      </w:r>
      <w:r>
        <w:rPr>
          <w:rFonts w:hint="eastAsia"/>
          <w:highlight w:val="none"/>
          <w:lang w:eastAsia="zh-CN"/>
        </w:rPr>
        <w:t>）</w:t>
      </w:r>
      <w:r>
        <w:rPr>
          <w:highlight w:val="none"/>
        </w:rPr>
        <w:t>应符合</w:t>
      </w:r>
      <w:r>
        <w:rPr>
          <w:rFonts w:hint="eastAsia" w:hAnsi="宋体"/>
          <w:lang w:val="en-US" w:eastAsia="zh-CN"/>
        </w:rPr>
        <w:t xml:space="preserve">T/JYBZ 031-2024 </w:t>
      </w:r>
      <w:r>
        <w:rPr>
          <w:highlight w:val="none"/>
        </w:rPr>
        <w:t>中</w:t>
      </w:r>
      <w:r>
        <w:rPr>
          <w:rFonts w:hint="eastAsia"/>
          <w:highlight w:val="none"/>
          <w:lang w:val="en-US" w:eastAsia="zh-CN"/>
        </w:rPr>
        <w:t>4.7</w:t>
      </w:r>
      <w:r>
        <w:rPr>
          <w:highlight w:val="none"/>
        </w:rPr>
        <w:t>的</w:t>
      </w:r>
      <w:r>
        <w:rPr>
          <w:rFonts w:hint="eastAsia"/>
          <w:highlight w:val="none"/>
          <w:lang w:val="en-US" w:eastAsia="zh-CN"/>
        </w:rPr>
        <w:t>序号18-23的</w:t>
      </w:r>
      <w:r>
        <w:rPr>
          <w:rFonts w:hint="default"/>
          <w:highlight w:val="none"/>
        </w:rPr>
        <w:t>规定。</w:t>
      </w:r>
    </w:p>
    <w:p w14:paraId="2BDCDF00">
      <w:pPr>
        <w:pStyle w:val="166"/>
        <w:numPr>
          <w:ilvl w:val="2"/>
          <w:numId w:val="0"/>
        </w:numPr>
        <w:spacing w:before="2" w:after="2"/>
        <w:ind w:leftChars="0"/>
        <w:rPr>
          <w:highlight w:val="none"/>
        </w:rPr>
      </w:pPr>
    </w:p>
    <w:p w14:paraId="1E5CC5FB">
      <w:pPr>
        <w:pStyle w:val="57"/>
        <w:ind w:left="0" w:leftChars="0" w:firstLine="0" w:firstLineChars="0"/>
        <w:jc w:val="both"/>
        <w:rPr>
          <w:rFonts w:hint="default" w:eastAsia="宋体"/>
          <w:lang w:val="en-US" w:eastAsia="zh-CN"/>
        </w:rPr>
      </w:pPr>
    </w:p>
    <w:p w14:paraId="5BA59927">
      <w:pPr>
        <w:pStyle w:val="106"/>
        <w:spacing w:before="120" w:after="120"/>
        <w:rPr>
          <w:rFonts w:hint="default"/>
          <w:highlight w:val="none"/>
        </w:rPr>
      </w:pPr>
      <w:r>
        <w:rPr>
          <w:highlight w:val="none"/>
        </w:rPr>
        <w:t>产品</w:t>
      </w:r>
      <w:r>
        <w:rPr>
          <w:rFonts w:hint="default"/>
          <w:highlight w:val="none"/>
        </w:rPr>
        <w:t>有害物质限量</w:t>
      </w:r>
    </w:p>
    <w:p w14:paraId="438E9617">
      <w:pPr>
        <w:pStyle w:val="166"/>
        <w:spacing w:before="2" w:after="2"/>
        <w:rPr>
          <w:rFonts w:hint="default"/>
          <w:highlight w:val="none"/>
        </w:rPr>
      </w:pPr>
      <w:r>
        <w:rPr>
          <w:highlight w:val="none"/>
        </w:rPr>
        <w:t>甲醛释放量</w:t>
      </w:r>
      <w:r>
        <w:rPr>
          <w:rFonts w:hint="eastAsia"/>
          <w:highlight w:val="none"/>
          <w:lang w:eastAsia="zh-CN"/>
        </w:rPr>
        <w:t>、</w:t>
      </w:r>
      <w:r>
        <w:rPr>
          <w:rFonts w:hint="eastAsia"/>
          <w:highlight w:val="none"/>
          <w:lang w:val="en-US" w:eastAsia="zh-CN"/>
        </w:rPr>
        <w:t>苯、甲苯、二甲苯、</w:t>
      </w:r>
      <w:r>
        <w:rPr>
          <w:highlight w:val="none"/>
        </w:rPr>
        <w:t>总挥发性有机化合物</w:t>
      </w:r>
      <w:r>
        <w:rPr>
          <w:rFonts w:hint="eastAsia"/>
          <w:highlight w:val="none"/>
          <w:lang w:val="en-US" w:eastAsia="zh-CN"/>
        </w:rPr>
        <w:t>、家具涂层</w:t>
      </w:r>
      <w:r>
        <w:rPr>
          <w:highlight w:val="none"/>
        </w:rPr>
        <w:t>可迁移</w:t>
      </w:r>
      <w:r>
        <w:rPr>
          <w:rFonts w:hint="default"/>
          <w:highlight w:val="none"/>
        </w:rPr>
        <w:t>元素</w:t>
      </w:r>
      <w:r>
        <w:rPr>
          <w:highlight w:val="none"/>
        </w:rPr>
        <w:t>含量应符合GB</w:t>
      </w:r>
      <w:r>
        <w:rPr>
          <w:rFonts w:hint="eastAsia"/>
          <w:highlight w:val="none"/>
          <w:lang w:val="en-US" w:eastAsia="zh-CN"/>
        </w:rPr>
        <w:t>/T35607</w:t>
      </w:r>
      <w:r>
        <w:rPr>
          <w:rFonts w:hint="default"/>
          <w:highlight w:val="none"/>
        </w:rPr>
        <w:t>-201</w:t>
      </w:r>
      <w:r>
        <w:rPr>
          <w:rFonts w:hint="eastAsia"/>
          <w:highlight w:val="none"/>
          <w:lang w:val="en-US" w:eastAsia="zh-CN"/>
        </w:rPr>
        <w:t>7</w:t>
      </w:r>
      <w:r>
        <w:rPr>
          <w:highlight w:val="none"/>
        </w:rPr>
        <w:t>中</w:t>
      </w:r>
      <w:r>
        <w:rPr>
          <w:rFonts w:hint="eastAsia"/>
          <w:highlight w:val="none"/>
          <w:lang w:val="en-US" w:eastAsia="zh-CN"/>
        </w:rPr>
        <w:t>表1</w:t>
      </w:r>
      <w:r>
        <w:rPr>
          <w:highlight w:val="none"/>
        </w:rPr>
        <w:t>的</w:t>
      </w:r>
      <w:r>
        <w:rPr>
          <w:rFonts w:hint="default"/>
          <w:highlight w:val="none"/>
        </w:rPr>
        <w:t>规定。</w:t>
      </w:r>
    </w:p>
    <w:p w14:paraId="787A919A">
      <w:pPr>
        <w:pStyle w:val="166"/>
        <w:spacing w:before="2" w:after="2"/>
        <w:rPr>
          <w:rFonts w:hint="default"/>
          <w:highlight w:val="none"/>
        </w:rPr>
      </w:pPr>
      <w:r>
        <w:rPr>
          <w:highlight w:val="none"/>
        </w:rPr>
        <w:t>塑料件</w:t>
      </w:r>
      <w:r>
        <w:rPr>
          <w:rFonts w:hint="default"/>
          <w:highlight w:val="none"/>
        </w:rPr>
        <w:t>中</w:t>
      </w:r>
      <w:r>
        <w:rPr>
          <w:highlight w:val="none"/>
        </w:rPr>
        <w:t>邻苯二甲酸酯</w:t>
      </w:r>
      <w:r>
        <w:rPr>
          <w:rFonts w:hint="eastAsia"/>
          <w:highlight w:val="none"/>
          <w:lang w:eastAsia="zh-CN"/>
        </w:rPr>
        <w:t>、</w:t>
      </w:r>
      <w:r>
        <w:rPr>
          <w:highlight w:val="none"/>
        </w:rPr>
        <w:t>重金属、多环芳烃、多溴</w:t>
      </w:r>
      <w:r>
        <w:rPr>
          <w:rFonts w:hint="default"/>
          <w:highlight w:val="none"/>
        </w:rPr>
        <w:t>联苯</w:t>
      </w:r>
      <w:r>
        <w:rPr>
          <w:highlight w:val="none"/>
        </w:rPr>
        <w:t>、</w:t>
      </w:r>
      <w:r>
        <w:rPr>
          <w:rFonts w:hint="default"/>
          <w:highlight w:val="none"/>
        </w:rPr>
        <w:t>多溴</w:t>
      </w:r>
      <w:r>
        <w:rPr>
          <w:highlight w:val="none"/>
        </w:rPr>
        <w:t>二</w:t>
      </w:r>
      <w:r>
        <w:rPr>
          <w:rFonts w:hint="default"/>
          <w:highlight w:val="none"/>
        </w:rPr>
        <w:t>苯醚</w:t>
      </w:r>
      <w:r>
        <w:rPr>
          <w:highlight w:val="none"/>
        </w:rPr>
        <w:t>应符合GB</w:t>
      </w:r>
      <w:r>
        <w:rPr>
          <w:rFonts w:hint="default"/>
          <w:highlight w:val="none"/>
        </w:rPr>
        <w:t xml:space="preserve"> 28481-2012</w:t>
      </w:r>
      <w:r>
        <w:rPr>
          <w:highlight w:val="none"/>
        </w:rPr>
        <w:t>中</w:t>
      </w:r>
      <w:r>
        <w:rPr>
          <w:rFonts w:hint="default"/>
          <w:highlight w:val="none"/>
        </w:rPr>
        <w:t>表</w:t>
      </w:r>
      <w:r>
        <w:rPr>
          <w:highlight w:val="none"/>
        </w:rPr>
        <w:t>4的</w:t>
      </w:r>
      <w:r>
        <w:rPr>
          <w:rFonts w:hint="default"/>
          <w:highlight w:val="none"/>
        </w:rPr>
        <w:t>规定。</w:t>
      </w:r>
    </w:p>
    <w:p w14:paraId="6AC8B522">
      <w:pPr>
        <w:pStyle w:val="166"/>
        <w:spacing w:before="2" w:after="2"/>
        <w:rPr>
          <w:rFonts w:hint="default"/>
          <w:highlight w:val="none"/>
        </w:rPr>
      </w:pPr>
      <w:r>
        <w:rPr>
          <w:rFonts w:hint="eastAsia"/>
          <w:highlight w:val="none"/>
          <w:lang w:val="en-US" w:eastAsia="zh-CN"/>
        </w:rPr>
        <w:t>纺织品中甲醛含量、可分解芳香胺</w:t>
      </w:r>
      <w:r>
        <w:rPr>
          <w:highlight w:val="none"/>
        </w:rPr>
        <w:t>应符合GB</w:t>
      </w:r>
      <w:r>
        <w:rPr>
          <w:rFonts w:hint="default"/>
          <w:highlight w:val="none"/>
        </w:rPr>
        <w:t xml:space="preserve"> 28007-2011</w:t>
      </w:r>
      <w:r>
        <w:rPr>
          <w:highlight w:val="none"/>
        </w:rPr>
        <w:t>中</w:t>
      </w:r>
      <w:r>
        <w:rPr>
          <w:rFonts w:hint="default"/>
          <w:highlight w:val="none"/>
        </w:rPr>
        <w:t>表</w:t>
      </w:r>
      <w:r>
        <w:rPr>
          <w:highlight w:val="none"/>
        </w:rPr>
        <w:t>3的</w:t>
      </w:r>
      <w:r>
        <w:rPr>
          <w:rFonts w:hint="default"/>
          <w:highlight w:val="none"/>
        </w:rPr>
        <w:t>规定。</w:t>
      </w:r>
    </w:p>
    <w:p w14:paraId="50AE2D76">
      <w:pPr>
        <w:pStyle w:val="166"/>
        <w:numPr>
          <w:ilvl w:val="2"/>
          <w:numId w:val="0"/>
        </w:numPr>
        <w:spacing w:before="2" w:after="2"/>
        <w:ind w:leftChars="0"/>
        <w:rPr>
          <w:rFonts w:hint="default"/>
          <w:highlight w:val="yellow"/>
        </w:rPr>
      </w:pPr>
    </w:p>
    <w:p w14:paraId="18ED8DC8">
      <w:pPr>
        <w:pStyle w:val="106"/>
        <w:spacing w:before="120" w:after="120"/>
        <w:rPr>
          <w:rFonts w:hint="default"/>
        </w:rPr>
      </w:pPr>
      <w:r>
        <w:t>包装、运输、储运</w:t>
      </w:r>
    </w:p>
    <w:p w14:paraId="27E8CA87">
      <w:pPr>
        <w:pStyle w:val="166"/>
        <w:spacing w:before="2" w:after="2"/>
        <w:rPr>
          <w:rFonts w:hint="default"/>
        </w:rPr>
      </w:pPr>
      <w:r>
        <w:t>产品宜加以包装，防止磕碰、划伤和污损且应用适当的方式进行防护。</w:t>
      </w:r>
    </w:p>
    <w:p w14:paraId="413DC2C3">
      <w:pPr>
        <w:pStyle w:val="166"/>
        <w:spacing w:before="2" w:after="2"/>
        <w:rPr>
          <w:rFonts w:hint="default"/>
        </w:rPr>
      </w:pPr>
      <w:r>
        <w:t>部件在运输过程中应有缓冲措施。成品运输过程中应做好防摔、防潮、防污染、防曝晒、防破损等保护措施。</w:t>
      </w:r>
    </w:p>
    <w:p w14:paraId="122F0E24">
      <w:pPr>
        <w:pStyle w:val="166"/>
        <w:spacing w:before="2" w:after="2"/>
        <w:rPr>
          <w:rFonts w:hint="default"/>
        </w:rPr>
      </w:pPr>
      <w:r>
        <w:t>成品宜堆放整齐，加以必要的防护，防止污染、虫蚀、受潮、曝晒、破损；贮存时应按类别、规格分别堆放。</w:t>
      </w:r>
    </w:p>
    <w:p w14:paraId="2D3F55F9">
      <w:pPr>
        <w:pStyle w:val="105"/>
        <w:spacing w:before="240" w:after="240"/>
        <w:rPr>
          <w:rFonts w:hint="default"/>
        </w:rPr>
      </w:pPr>
      <w:r>
        <w:t>评价指标要求</w:t>
      </w:r>
    </w:p>
    <w:p w14:paraId="681DB791">
      <w:pPr>
        <w:pStyle w:val="66"/>
        <w:numPr>
          <w:ilvl w:val="0"/>
          <w:numId w:val="0"/>
        </w:numPr>
        <w:spacing w:before="120" w:after="120"/>
        <w:ind w:firstLine="315" w:firstLineChars="150"/>
        <w:rPr>
          <w:rFonts w:hint="default"/>
        </w:rPr>
      </w:pPr>
      <w:r>
        <w:t>“</w:t>
      </w:r>
      <w:r>
        <w:rPr>
          <w:rFonts w:ascii="宋体" w:eastAsia="宋体"/>
        </w:rPr>
        <w:t>江西绿色生态”</w:t>
      </w:r>
      <w:r>
        <w:rPr>
          <w:rFonts w:hint="eastAsia" w:ascii="宋体" w:eastAsia="宋体"/>
          <w:lang w:eastAsia="zh-CN"/>
        </w:rPr>
        <w:t>可躺式午休课桌椅</w:t>
      </w:r>
      <w:r>
        <w:rPr>
          <w:rFonts w:ascii="宋体" w:eastAsia="宋体"/>
        </w:rPr>
        <w:t>产品评价指标由一级指标和二级指标组成。一级指标是指DB36/T 1138的第5章中规定的资源节约、环境保护、生态协同和质量引领属性指标。二级指标是一级指标的具体化。</w:t>
      </w:r>
      <w:r>
        <w:rPr>
          <w:rFonts w:hint="eastAsia" w:ascii="宋体" w:eastAsia="宋体"/>
          <w:lang w:eastAsia="zh-CN"/>
        </w:rPr>
        <w:t>可躺式午休课桌椅</w:t>
      </w:r>
      <w:r>
        <w:rPr>
          <w:rFonts w:ascii="宋体" w:eastAsia="宋体"/>
        </w:rPr>
        <w:t>产品的评价指标、评价方式</w:t>
      </w:r>
      <w:r>
        <w:rPr>
          <w:rFonts w:hint="default" w:ascii="宋体" w:eastAsia="宋体"/>
        </w:rPr>
        <w:t>或方法</w:t>
      </w:r>
      <w:r>
        <w:rPr>
          <w:rFonts w:ascii="宋体" w:eastAsia="宋体"/>
        </w:rPr>
        <w:t>内容见表1</w:t>
      </w:r>
      <w:r>
        <w:t>。</w:t>
      </w:r>
    </w:p>
    <w:p w14:paraId="5457E916">
      <w:pPr>
        <w:pStyle w:val="113"/>
        <w:spacing w:before="120" w:after="120"/>
        <w:rPr>
          <w:rFonts w:hint="default"/>
        </w:rPr>
      </w:pPr>
      <w:r>
        <w:t>“江西绿色生态”</w:t>
      </w:r>
      <w:r>
        <w:rPr>
          <w:rFonts w:hint="eastAsia"/>
          <w:lang w:eastAsia="zh-CN"/>
        </w:rPr>
        <w:t>可躺式午休课桌椅</w:t>
      </w:r>
      <w:r>
        <w:t>产品评价指标要求</w:t>
      </w:r>
    </w:p>
    <w:tbl>
      <w:tblPr>
        <w:tblStyle w:val="28"/>
        <w:tblW w:w="515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41"/>
        <w:gridCol w:w="917"/>
        <w:gridCol w:w="1317"/>
        <w:gridCol w:w="1943"/>
        <w:gridCol w:w="23"/>
        <w:gridCol w:w="1974"/>
        <w:gridCol w:w="1535"/>
        <w:gridCol w:w="1418"/>
      </w:tblGrid>
      <w:tr w14:paraId="1627FA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1" w:hRule="atLeast"/>
          <w:tblHeader/>
          <w:jc w:val="center"/>
        </w:trPr>
        <w:tc>
          <w:tcPr>
            <w:tcW w:w="280" w:type="pct"/>
            <w:tcBorders>
              <w:top w:val="single" w:color="auto" w:sz="8" w:space="0"/>
              <w:bottom w:val="single" w:color="auto" w:sz="8" w:space="0"/>
            </w:tcBorders>
            <w:shd w:val="clear" w:color="auto" w:fill="auto"/>
            <w:vAlign w:val="center"/>
          </w:tcPr>
          <w:p w14:paraId="05E65874">
            <w:pPr>
              <w:pStyle w:val="179"/>
              <w:rPr>
                <w:rFonts w:hint="default"/>
              </w:rPr>
            </w:pPr>
            <w:r>
              <w:t>序号</w:t>
            </w:r>
          </w:p>
        </w:tc>
        <w:tc>
          <w:tcPr>
            <w:tcW w:w="474" w:type="pct"/>
            <w:tcBorders>
              <w:top w:val="single" w:color="auto" w:sz="8" w:space="0"/>
              <w:bottom w:val="single" w:color="auto" w:sz="8" w:space="0"/>
            </w:tcBorders>
            <w:shd w:val="clear" w:color="auto" w:fill="auto"/>
            <w:vAlign w:val="center"/>
          </w:tcPr>
          <w:p w14:paraId="191D9ED5">
            <w:pPr>
              <w:pStyle w:val="179"/>
              <w:rPr>
                <w:rFonts w:hint="default"/>
              </w:rPr>
            </w:pPr>
            <w:r>
              <w:t>一级指标</w:t>
            </w:r>
          </w:p>
        </w:tc>
        <w:tc>
          <w:tcPr>
            <w:tcW w:w="3513" w:type="pct"/>
            <w:gridSpan w:val="5"/>
            <w:tcBorders>
              <w:top w:val="single" w:color="auto" w:sz="8" w:space="0"/>
              <w:bottom w:val="single" w:color="auto" w:sz="8" w:space="0"/>
            </w:tcBorders>
            <w:shd w:val="clear" w:color="auto" w:fill="auto"/>
            <w:vAlign w:val="center"/>
          </w:tcPr>
          <w:p w14:paraId="77408A36">
            <w:pPr>
              <w:pStyle w:val="179"/>
              <w:rPr>
                <w:rFonts w:hint="default"/>
              </w:rPr>
            </w:pPr>
            <w:r>
              <w:t>二级指标要求</w:t>
            </w:r>
          </w:p>
        </w:tc>
        <w:tc>
          <w:tcPr>
            <w:tcW w:w="731" w:type="pct"/>
            <w:tcBorders>
              <w:top w:val="single" w:color="auto" w:sz="8" w:space="0"/>
              <w:bottom w:val="single" w:color="auto" w:sz="8" w:space="0"/>
            </w:tcBorders>
            <w:shd w:val="clear" w:color="auto" w:fill="auto"/>
            <w:vAlign w:val="center"/>
          </w:tcPr>
          <w:p w14:paraId="36F4E6F1">
            <w:pPr>
              <w:pStyle w:val="179"/>
              <w:rPr>
                <w:rFonts w:hint="default"/>
              </w:rPr>
            </w:pPr>
            <w:r>
              <w:t>评价</w:t>
            </w:r>
            <w:r>
              <w:rPr>
                <w:rFonts w:hint="default"/>
              </w:rPr>
              <w:t>方式</w:t>
            </w:r>
            <w:r>
              <w:t>/方法</w:t>
            </w:r>
          </w:p>
        </w:tc>
      </w:tr>
      <w:tr w14:paraId="52143F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280" w:type="pct"/>
            <w:tcBorders>
              <w:top w:val="single" w:color="auto" w:sz="8" w:space="0"/>
            </w:tcBorders>
            <w:shd w:val="clear" w:color="auto" w:fill="auto"/>
            <w:vAlign w:val="center"/>
          </w:tcPr>
          <w:p w14:paraId="2E4A5875">
            <w:pPr>
              <w:pStyle w:val="179"/>
              <w:rPr>
                <w:rFonts w:hint="default"/>
              </w:rPr>
            </w:pPr>
            <w:r>
              <w:t>1</w:t>
            </w:r>
          </w:p>
        </w:tc>
        <w:tc>
          <w:tcPr>
            <w:tcW w:w="474" w:type="pct"/>
            <w:vMerge w:val="restart"/>
            <w:tcBorders>
              <w:top w:val="single" w:color="auto" w:sz="8" w:space="0"/>
            </w:tcBorders>
            <w:shd w:val="clear" w:color="auto" w:fill="auto"/>
            <w:vAlign w:val="center"/>
          </w:tcPr>
          <w:p w14:paraId="2894352F">
            <w:pPr>
              <w:pStyle w:val="179"/>
              <w:rPr>
                <w:rFonts w:hint="default"/>
              </w:rPr>
            </w:pPr>
            <w:r>
              <w:t>资源节约</w:t>
            </w:r>
          </w:p>
        </w:tc>
        <w:tc>
          <w:tcPr>
            <w:tcW w:w="3513" w:type="pct"/>
            <w:gridSpan w:val="5"/>
            <w:tcBorders>
              <w:top w:val="single" w:color="auto" w:sz="8" w:space="0"/>
            </w:tcBorders>
            <w:shd w:val="clear" w:color="auto" w:fill="auto"/>
            <w:vAlign w:val="center"/>
          </w:tcPr>
          <w:p w14:paraId="2C8EA615">
            <w:pPr>
              <w:pStyle w:val="179"/>
              <w:rPr>
                <w:rFonts w:hint="default"/>
              </w:rPr>
            </w:pPr>
            <w:r>
              <w:t>应按照GB/T 38702的要求，构建供应链安全管理体系，保证原材料来源的安全性，减少原材料损失</w:t>
            </w:r>
          </w:p>
        </w:tc>
        <w:tc>
          <w:tcPr>
            <w:tcW w:w="731" w:type="pct"/>
            <w:vMerge w:val="restart"/>
            <w:tcBorders>
              <w:top w:val="single" w:color="auto" w:sz="8" w:space="0"/>
            </w:tcBorders>
            <w:shd w:val="clear" w:color="auto" w:fill="auto"/>
            <w:vAlign w:val="center"/>
          </w:tcPr>
          <w:p w14:paraId="766DB7B5">
            <w:pPr>
              <w:pStyle w:val="179"/>
              <w:numPr>
                <w:ilvl w:val="0"/>
                <w:numId w:val="42"/>
              </w:numPr>
              <w:rPr>
                <w:rFonts w:hint="default"/>
              </w:rPr>
            </w:pPr>
            <w:r>
              <w:t>查看制度文件、原材料采购合同、循环回收方案</w:t>
            </w:r>
          </w:p>
          <w:p w14:paraId="07D98214">
            <w:pPr>
              <w:pStyle w:val="179"/>
              <w:numPr>
                <w:ilvl w:val="0"/>
                <w:numId w:val="42"/>
              </w:numPr>
              <w:rPr>
                <w:rFonts w:hint="default"/>
              </w:rPr>
            </w:pPr>
            <w:r>
              <w:t>提供木材等原材料供应商资质及原材料采购凭证</w:t>
            </w:r>
          </w:p>
          <w:p w14:paraId="57D7617D">
            <w:pPr>
              <w:pStyle w:val="179"/>
              <w:numPr>
                <w:ilvl w:val="0"/>
                <w:numId w:val="42"/>
              </w:numPr>
              <w:rPr>
                <w:rFonts w:hint="default"/>
              </w:rPr>
            </w:pPr>
            <w:r>
              <w:t>其他相关证明</w:t>
            </w:r>
          </w:p>
        </w:tc>
      </w:tr>
      <w:tr w14:paraId="3460C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7EB55E8F">
            <w:pPr>
              <w:pStyle w:val="179"/>
              <w:rPr>
                <w:rFonts w:hint="default"/>
              </w:rPr>
            </w:pPr>
            <w:r>
              <w:t>2</w:t>
            </w:r>
          </w:p>
        </w:tc>
        <w:tc>
          <w:tcPr>
            <w:tcW w:w="474" w:type="pct"/>
            <w:vMerge w:val="continue"/>
            <w:shd w:val="clear" w:color="auto" w:fill="auto"/>
            <w:vAlign w:val="center"/>
          </w:tcPr>
          <w:p w14:paraId="6E565F89">
            <w:pPr>
              <w:pStyle w:val="179"/>
              <w:rPr>
                <w:rFonts w:hint="default"/>
              </w:rPr>
            </w:pPr>
          </w:p>
        </w:tc>
        <w:tc>
          <w:tcPr>
            <w:tcW w:w="3513" w:type="pct"/>
            <w:gridSpan w:val="5"/>
            <w:shd w:val="clear" w:color="auto" w:fill="auto"/>
            <w:vAlign w:val="center"/>
          </w:tcPr>
          <w:p w14:paraId="24D16AAD">
            <w:pPr>
              <w:pStyle w:val="179"/>
              <w:rPr>
                <w:rFonts w:hint="default"/>
              </w:rPr>
            </w:pPr>
            <w:r>
              <w:t>应按照GB/T 28747要求，遵循技术先进性、质量可靠性、产品安全性、经济可行性四个原则，制定原材料节约、废弃物循环利用的制度和方案</w:t>
            </w:r>
          </w:p>
        </w:tc>
        <w:tc>
          <w:tcPr>
            <w:tcW w:w="731" w:type="pct"/>
            <w:vMerge w:val="continue"/>
            <w:shd w:val="clear" w:color="auto" w:fill="auto"/>
            <w:vAlign w:val="center"/>
          </w:tcPr>
          <w:p w14:paraId="0DF19507">
            <w:pPr>
              <w:pStyle w:val="179"/>
              <w:rPr>
                <w:rFonts w:hint="default"/>
              </w:rPr>
            </w:pPr>
          </w:p>
        </w:tc>
      </w:tr>
      <w:tr w14:paraId="14E2A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09A7E95C">
            <w:pPr>
              <w:pStyle w:val="179"/>
              <w:rPr>
                <w:rFonts w:hint="default"/>
              </w:rPr>
            </w:pPr>
            <w:r>
              <w:t>3</w:t>
            </w:r>
          </w:p>
        </w:tc>
        <w:tc>
          <w:tcPr>
            <w:tcW w:w="474" w:type="pct"/>
            <w:vMerge w:val="continue"/>
            <w:shd w:val="clear" w:color="auto" w:fill="auto"/>
            <w:vAlign w:val="center"/>
          </w:tcPr>
          <w:p w14:paraId="6AF467E8">
            <w:pPr>
              <w:pStyle w:val="179"/>
              <w:rPr>
                <w:rFonts w:hint="default"/>
              </w:rPr>
            </w:pPr>
          </w:p>
        </w:tc>
        <w:tc>
          <w:tcPr>
            <w:tcW w:w="3513" w:type="pct"/>
            <w:gridSpan w:val="5"/>
            <w:shd w:val="clear" w:color="auto" w:fill="auto"/>
            <w:vAlign w:val="center"/>
          </w:tcPr>
          <w:p w14:paraId="4FF058B9">
            <w:pPr>
              <w:pStyle w:val="179"/>
              <w:rPr>
                <w:rFonts w:hint="default"/>
              </w:rPr>
            </w:pPr>
            <w:r>
              <w:t>应参考GB/T 29115规定的评价指标和方法，积极引进并采用先进的设计理念、工艺或设备，以提高原材料利用率、成材率（成品率）或回收利用率</w:t>
            </w:r>
          </w:p>
        </w:tc>
        <w:tc>
          <w:tcPr>
            <w:tcW w:w="731" w:type="pct"/>
            <w:vMerge w:val="continue"/>
            <w:shd w:val="clear" w:color="auto" w:fill="auto"/>
            <w:vAlign w:val="center"/>
          </w:tcPr>
          <w:p w14:paraId="46E567A1">
            <w:pPr>
              <w:pStyle w:val="179"/>
              <w:rPr>
                <w:rFonts w:hint="default"/>
              </w:rPr>
            </w:pPr>
          </w:p>
        </w:tc>
      </w:tr>
      <w:tr w14:paraId="1AE18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0AAE41E">
            <w:pPr>
              <w:pStyle w:val="179"/>
              <w:rPr>
                <w:rFonts w:hint="default"/>
              </w:rPr>
            </w:pPr>
            <w:r>
              <w:t>4</w:t>
            </w:r>
          </w:p>
        </w:tc>
        <w:tc>
          <w:tcPr>
            <w:tcW w:w="474" w:type="pct"/>
            <w:vMerge w:val="continue"/>
            <w:shd w:val="clear" w:color="auto" w:fill="auto"/>
            <w:vAlign w:val="center"/>
          </w:tcPr>
          <w:p w14:paraId="09E97EE5">
            <w:pPr>
              <w:pStyle w:val="179"/>
              <w:rPr>
                <w:rFonts w:hint="default"/>
              </w:rPr>
            </w:pPr>
          </w:p>
        </w:tc>
        <w:tc>
          <w:tcPr>
            <w:tcW w:w="3513" w:type="pct"/>
            <w:gridSpan w:val="5"/>
            <w:shd w:val="clear" w:color="auto" w:fill="auto"/>
            <w:vAlign w:val="center"/>
          </w:tcPr>
          <w:p w14:paraId="657F8F07">
            <w:pPr>
              <w:pStyle w:val="179"/>
              <w:rPr>
                <w:rFonts w:hint="default"/>
              </w:rPr>
            </w:pPr>
            <w:r>
              <w:t>企业生产制造用水定额应符合DB36/T 420通用值</w:t>
            </w:r>
            <w:r>
              <w:rPr>
                <w:rFonts w:hint="default"/>
              </w:rPr>
              <w:t>的</w:t>
            </w:r>
            <w:r>
              <w:t>规定</w:t>
            </w:r>
          </w:p>
        </w:tc>
        <w:tc>
          <w:tcPr>
            <w:tcW w:w="731" w:type="pct"/>
            <w:vMerge w:val="continue"/>
            <w:shd w:val="clear" w:color="auto" w:fill="auto"/>
            <w:vAlign w:val="center"/>
          </w:tcPr>
          <w:p w14:paraId="37872A0F">
            <w:pPr>
              <w:pStyle w:val="179"/>
              <w:rPr>
                <w:rFonts w:hint="default"/>
              </w:rPr>
            </w:pPr>
          </w:p>
        </w:tc>
      </w:tr>
      <w:tr w14:paraId="66463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0B9A1A70">
            <w:pPr>
              <w:pStyle w:val="179"/>
              <w:rPr>
                <w:rFonts w:hint="default"/>
              </w:rPr>
            </w:pPr>
            <w:r>
              <w:t>5</w:t>
            </w:r>
          </w:p>
        </w:tc>
        <w:tc>
          <w:tcPr>
            <w:tcW w:w="474" w:type="pct"/>
            <w:vMerge w:val="continue"/>
            <w:shd w:val="clear" w:color="auto" w:fill="auto"/>
            <w:vAlign w:val="center"/>
          </w:tcPr>
          <w:p w14:paraId="1B437342">
            <w:pPr>
              <w:pStyle w:val="179"/>
              <w:rPr>
                <w:rFonts w:hint="default"/>
              </w:rPr>
            </w:pPr>
          </w:p>
        </w:tc>
        <w:tc>
          <w:tcPr>
            <w:tcW w:w="3513" w:type="pct"/>
            <w:gridSpan w:val="5"/>
            <w:shd w:val="clear" w:color="auto" w:fill="auto"/>
            <w:vAlign w:val="center"/>
          </w:tcPr>
          <w:p w14:paraId="4A88F117">
            <w:pPr>
              <w:pStyle w:val="179"/>
              <w:rPr>
                <w:rFonts w:hint="default"/>
              </w:rPr>
            </w:pPr>
            <w:r>
              <w:t>应按照GB 17167的要求配备能源计量器具，建立能源管理体系，制定能源节约、余热余压循环利用的制度和措施，明确管理职责和人员</w:t>
            </w:r>
          </w:p>
        </w:tc>
        <w:tc>
          <w:tcPr>
            <w:tcW w:w="731" w:type="pct"/>
            <w:vMerge w:val="continue"/>
            <w:shd w:val="clear" w:color="auto" w:fill="auto"/>
            <w:vAlign w:val="center"/>
          </w:tcPr>
          <w:p w14:paraId="1E49EB9D">
            <w:pPr>
              <w:pStyle w:val="179"/>
              <w:rPr>
                <w:rFonts w:hint="default"/>
              </w:rPr>
            </w:pPr>
          </w:p>
        </w:tc>
      </w:tr>
      <w:tr w14:paraId="29D85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C0DC81C">
            <w:pPr>
              <w:pStyle w:val="179"/>
              <w:rPr>
                <w:rFonts w:hint="default"/>
              </w:rPr>
            </w:pPr>
            <w:r>
              <w:t>6</w:t>
            </w:r>
          </w:p>
        </w:tc>
        <w:tc>
          <w:tcPr>
            <w:tcW w:w="474" w:type="pct"/>
            <w:vMerge w:val="continue"/>
            <w:shd w:val="clear" w:color="auto" w:fill="auto"/>
            <w:vAlign w:val="center"/>
          </w:tcPr>
          <w:p w14:paraId="2845C917">
            <w:pPr>
              <w:pStyle w:val="179"/>
              <w:rPr>
                <w:rFonts w:hint="default"/>
              </w:rPr>
            </w:pPr>
          </w:p>
        </w:tc>
        <w:tc>
          <w:tcPr>
            <w:tcW w:w="3513" w:type="pct"/>
            <w:gridSpan w:val="5"/>
            <w:shd w:val="clear" w:color="auto" w:fill="auto"/>
            <w:vAlign w:val="center"/>
          </w:tcPr>
          <w:p w14:paraId="1E29081E">
            <w:pPr>
              <w:pStyle w:val="179"/>
              <w:rPr>
                <w:rFonts w:hint="default"/>
              </w:rPr>
            </w:pPr>
            <w:r>
              <w:t>企业宜使用清洁能源和可再生能源</w:t>
            </w:r>
          </w:p>
        </w:tc>
        <w:tc>
          <w:tcPr>
            <w:tcW w:w="731" w:type="pct"/>
            <w:vMerge w:val="continue"/>
            <w:shd w:val="clear" w:color="auto" w:fill="auto"/>
            <w:vAlign w:val="center"/>
          </w:tcPr>
          <w:p w14:paraId="401EFB7E">
            <w:pPr>
              <w:pStyle w:val="179"/>
              <w:rPr>
                <w:rFonts w:hint="default"/>
              </w:rPr>
            </w:pPr>
          </w:p>
        </w:tc>
      </w:tr>
      <w:tr w14:paraId="51237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280" w:type="pct"/>
            <w:shd w:val="clear" w:color="auto" w:fill="auto"/>
            <w:vAlign w:val="center"/>
          </w:tcPr>
          <w:p w14:paraId="30D7691B">
            <w:pPr>
              <w:pStyle w:val="179"/>
              <w:rPr>
                <w:rFonts w:hint="default"/>
              </w:rPr>
            </w:pPr>
            <w:r>
              <w:t>7</w:t>
            </w:r>
          </w:p>
        </w:tc>
        <w:tc>
          <w:tcPr>
            <w:tcW w:w="474" w:type="pct"/>
            <w:vMerge w:val="continue"/>
            <w:shd w:val="clear" w:color="auto" w:fill="auto"/>
            <w:vAlign w:val="center"/>
          </w:tcPr>
          <w:p w14:paraId="3D3BC368">
            <w:pPr>
              <w:pStyle w:val="179"/>
              <w:rPr>
                <w:rFonts w:hint="default"/>
              </w:rPr>
            </w:pPr>
          </w:p>
        </w:tc>
        <w:tc>
          <w:tcPr>
            <w:tcW w:w="3513" w:type="pct"/>
            <w:gridSpan w:val="5"/>
            <w:shd w:val="clear" w:color="auto" w:fill="auto"/>
            <w:vAlign w:val="center"/>
          </w:tcPr>
          <w:p w14:paraId="4DD7DA55">
            <w:pPr>
              <w:pStyle w:val="179"/>
              <w:rPr>
                <w:rFonts w:hint="default"/>
              </w:rPr>
            </w:pPr>
            <w:r>
              <w:t>包装应符合科学、牢固、经济、美观的要求，鼓励包装减量化、包装材质可降解或循环使用</w:t>
            </w:r>
          </w:p>
        </w:tc>
        <w:tc>
          <w:tcPr>
            <w:tcW w:w="731" w:type="pct"/>
            <w:shd w:val="clear" w:color="auto" w:fill="auto"/>
            <w:vAlign w:val="center"/>
          </w:tcPr>
          <w:p w14:paraId="61D61C34">
            <w:pPr>
              <w:pStyle w:val="179"/>
              <w:rPr>
                <w:rFonts w:hint="default"/>
              </w:rPr>
            </w:pPr>
            <w:r>
              <w:t>查看包装材料采购凭证</w:t>
            </w:r>
          </w:p>
        </w:tc>
      </w:tr>
      <w:tr w14:paraId="793D0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11F77A5C">
            <w:pPr>
              <w:pStyle w:val="179"/>
              <w:rPr>
                <w:rFonts w:hint="default"/>
              </w:rPr>
            </w:pPr>
            <w:r>
              <w:t>8</w:t>
            </w:r>
          </w:p>
        </w:tc>
        <w:tc>
          <w:tcPr>
            <w:tcW w:w="474" w:type="pct"/>
            <w:vMerge w:val="restart"/>
            <w:shd w:val="clear" w:color="auto" w:fill="auto"/>
            <w:vAlign w:val="center"/>
          </w:tcPr>
          <w:p w14:paraId="0D1FE67C">
            <w:pPr>
              <w:pStyle w:val="179"/>
              <w:rPr>
                <w:rFonts w:hint="default"/>
              </w:rPr>
            </w:pPr>
            <w:r>
              <w:t>环境保护</w:t>
            </w:r>
          </w:p>
        </w:tc>
        <w:tc>
          <w:tcPr>
            <w:tcW w:w="3513" w:type="pct"/>
            <w:gridSpan w:val="5"/>
            <w:shd w:val="clear" w:color="auto" w:fill="auto"/>
            <w:vAlign w:val="center"/>
          </w:tcPr>
          <w:p w14:paraId="140A5DDE">
            <w:pPr>
              <w:pStyle w:val="179"/>
              <w:rPr>
                <w:rFonts w:hint="default"/>
              </w:rPr>
            </w:pPr>
            <w:r>
              <w:t>制定降尘、降噪、排污等环境管理制度和方案，确定机构、人员和职责</w:t>
            </w:r>
          </w:p>
        </w:tc>
        <w:tc>
          <w:tcPr>
            <w:tcW w:w="731" w:type="pct"/>
            <w:shd w:val="clear" w:color="auto" w:fill="auto"/>
            <w:vAlign w:val="center"/>
          </w:tcPr>
          <w:p w14:paraId="6A2F7E31">
            <w:pPr>
              <w:pStyle w:val="179"/>
              <w:rPr>
                <w:rFonts w:hint="default"/>
              </w:rPr>
            </w:pPr>
            <w:r>
              <w:t>查看制度文件</w:t>
            </w:r>
          </w:p>
        </w:tc>
      </w:tr>
      <w:tr w14:paraId="720D2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431ADF5">
            <w:pPr>
              <w:pStyle w:val="179"/>
              <w:rPr>
                <w:rFonts w:hint="default"/>
              </w:rPr>
            </w:pPr>
            <w:r>
              <w:t>9</w:t>
            </w:r>
          </w:p>
        </w:tc>
        <w:tc>
          <w:tcPr>
            <w:tcW w:w="474" w:type="pct"/>
            <w:vMerge w:val="continue"/>
            <w:shd w:val="clear" w:color="auto" w:fill="auto"/>
            <w:vAlign w:val="center"/>
          </w:tcPr>
          <w:p w14:paraId="371467CF">
            <w:pPr>
              <w:pStyle w:val="179"/>
              <w:rPr>
                <w:rFonts w:hint="default"/>
              </w:rPr>
            </w:pPr>
          </w:p>
        </w:tc>
        <w:tc>
          <w:tcPr>
            <w:tcW w:w="3513" w:type="pct"/>
            <w:gridSpan w:val="5"/>
            <w:shd w:val="clear" w:color="auto" w:fill="auto"/>
            <w:vAlign w:val="center"/>
          </w:tcPr>
          <w:p w14:paraId="26E8F431">
            <w:pPr>
              <w:pStyle w:val="179"/>
              <w:rPr>
                <w:rFonts w:hint="default"/>
              </w:rPr>
            </w:pPr>
            <w:r>
              <w:t>原材料应优先选择对环境污染较小、可降解的原料</w:t>
            </w:r>
          </w:p>
        </w:tc>
        <w:tc>
          <w:tcPr>
            <w:tcW w:w="731" w:type="pct"/>
            <w:vMerge w:val="restart"/>
            <w:shd w:val="clear" w:color="auto" w:fill="auto"/>
            <w:vAlign w:val="center"/>
          </w:tcPr>
          <w:p w14:paraId="12D6862E">
            <w:pPr>
              <w:pStyle w:val="179"/>
              <w:rPr>
                <w:rFonts w:hint="default"/>
              </w:rPr>
            </w:pPr>
            <w:r>
              <w:t>可参考环境部门抽检结果</w:t>
            </w:r>
          </w:p>
        </w:tc>
      </w:tr>
      <w:tr w14:paraId="2B6C3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2662D89">
            <w:pPr>
              <w:pStyle w:val="179"/>
              <w:rPr>
                <w:rFonts w:hint="default"/>
              </w:rPr>
            </w:pPr>
            <w:r>
              <w:t>10</w:t>
            </w:r>
          </w:p>
        </w:tc>
        <w:tc>
          <w:tcPr>
            <w:tcW w:w="474" w:type="pct"/>
            <w:vMerge w:val="continue"/>
            <w:shd w:val="clear" w:color="auto" w:fill="auto"/>
            <w:vAlign w:val="center"/>
          </w:tcPr>
          <w:p w14:paraId="319841A0">
            <w:pPr>
              <w:pStyle w:val="179"/>
              <w:rPr>
                <w:rFonts w:hint="default"/>
              </w:rPr>
            </w:pPr>
          </w:p>
        </w:tc>
        <w:tc>
          <w:tcPr>
            <w:tcW w:w="3513" w:type="pct"/>
            <w:gridSpan w:val="5"/>
            <w:shd w:val="clear" w:color="auto" w:fill="auto"/>
            <w:vAlign w:val="center"/>
          </w:tcPr>
          <w:p w14:paraId="46A5477C">
            <w:pPr>
              <w:pStyle w:val="179"/>
              <w:rPr>
                <w:rFonts w:hint="default"/>
              </w:rPr>
            </w:pPr>
            <w:r>
              <w:t>生产企业污染物排放量应符合GB 8978的要求</w:t>
            </w:r>
          </w:p>
        </w:tc>
        <w:tc>
          <w:tcPr>
            <w:tcW w:w="731" w:type="pct"/>
            <w:vMerge w:val="continue"/>
            <w:shd w:val="clear" w:color="auto" w:fill="auto"/>
            <w:vAlign w:val="center"/>
          </w:tcPr>
          <w:p w14:paraId="06FFD45D">
            <w:pPr>
              <w:pStyle w:val="179"/>
              <w:rPr>
                <w:rFonts w:hint="default"/>
              </w:rPr>
            </w:pPr>
          </w:p>
        </w:tc>
      </w:tr>
      <w:tr w14:paraId="559A60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65BE770">
            <w:pPr>
              <w:pStyle w:val="179"/>
              <w:rPr>
                <w:rFonts w:hint="default"/>
              </w:rPr>
            </w:pPr>
            <w:r>
              <w:t>11</w:t>
            </w:r>
          </w:p>
        </w:tc>
        <w:tc>
          <w:tcPr>
            <w:tcW w:w="474" w:type="pct"/>
            <w:vMerge w:val="continue"/>
            <w:shd w:val="clear" w:color="auto" w:fill="auto"/>
            <w:vAlign w:val="center"/>
          </w:tcPr>
          <w:p w14:paraId="61027541">
            <w:pPr>
              <w:pStyle w:val="179"/>
              <w:rPr>
                <w:rFonts w:hint="default"/>
              </w:rPr>
            </w:pPr>
          </w:p>
        </w:tc>
        <w:tc>
          <w:tcPr>
            <w:tcW w:w="3513" w:type="pct"/>
            <w:gridSpan w:val="5"/>
            <w:shd w:val="clear" w:color="auto" w:fill="auto"/>
            <w:vAlign w:val="center"/>
          </w:tcPr>
          <w:p w14:paraId="1CDB57CC">
            <w:pPr>
              <w:pStyle w:val="179"/>
              <w:rPr>
                <w:rFonts w:hint="default"/>
              </w:rPr>
            </w:pPr>
            <w:r>
              <w:t>工业企业厂界噪声排放限值应符合GB 12348的要求</w:t>
            </w:r>
          </w:p>
        </w:tc>
        <w:tc>
          <w:tcPr>
            <w:tcW w:w="731" w:type="pct"/>
            <w:vMerge w:val="continue"/>
            <w:shd w:val="clear" w:color="auto" w:fill="auto"/>
            <w:vAlign w:val="center"/>
          </w:tcPr>
          <w:p w14:paraId="3518FF63">
            <w:pPr>
              <w:pStyle w:val="179"/>
              <w:rPr>
                <w:rFonts w:hint="default"/>
              </w:rPr>
            </w:pPr>
          </w:p>
        </w:tc>
      </w:tr>
      <w:tr w14:paraId="0EF2A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9289D64">
            <w:pPr>
              <w:pStyle w:val="179"/>
              <w:rPr>
                <w:rFonts w:hint="default"/>
              </w:rPr>
            </w:pPr>
            <w:r>
              <w:t>12</w:t>
            </w:r>
          </w:p>
        </w:tc>
        <w:tc>
          <w:tcPr>
            <w:tcW w:w="474" w:type="pct"/>
            <w:vMerge w:val="continue"/>
            <w:shd w:val="clear" w:color="auto" w:fill="auto"/>
            <w:vAlign w:val="center"/>
          </w:tcPr>
          <w:p w14:paraId="7996CB44">
            <w:pPr>
              <w:pStyle w:val="179"/>
              <w:rPr>
                <w:rFonts w:hint="default"/>
              </w:rPr>
            </w:pPr>
          </w:p>
        </w:tc>
        <w:tc>
          <w:tcPr>
            <w:tcW w:w="3513" w:type="pct"/>
            <w:gridSpan w:val="5"/>
            <w:shd w:val="clear" w:color="auto" w:fill="auto"/>
            <w:vAlign w:val="center"/>
          </w:tcPr>
          <w:p w14:paraId="03719A20">
            <w:pPr>
              <w:pStyle w:val="179"/>
              <w:rPr>
                <w:rFonts w:hint="default"/>
              </w:rPr>
            </w:pPr>
            <w:r>
              <w:t>固体废弃物贮存、处置场所应符合GB 18599的要求</w:t>
            </w:r>
          </w:p>
        </w:tc>
        <w:tc>
          <w:tcPr>
            <w:tcW w:w="731" w:type="pct"/>
            <w:vMerge w:val="continue"/>
            <w:shd w:val="clear" w:color="auto" w:fill="auto"/>
            <w:vAlign w:val="center"/>
          </w:tcPr>
          <w:p w14:paraId="23F30516">
            <w:pPr>
              <w:pStyle w:val="179"/>
              <w:rPr>
                <w:rFonts w:hint="default"/>
              </w:rPr>
            </w:pPr>
          </w:p>
        </w:tc>
      </w:tr>
      <w:tr w14:paraId="16F281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5EBC6BE">
            <w:pPr>
              <w:pStyle w:val="179"/>
              <w:rPr>
                <w:rFonts w:hint="default"/>
              </w:rPr>
            </w:pPr>
            <w:r>
              <w:t>13</w:t>
            </w:r>
          </w:p>
        </w:tc>
        <w:tc>
          <w:tcPr>
            <w:tcW w:w="474" w:type="pct"/>
            <w:vMerge w:val="continue"/>
            <w:shd w:val="clear" w:color="auto" w:fill="auto"/>
            <w:vAlign w:val="center"/>
          </w:tcPr>
          <w:p w14:paraId="1F85D03E">
            <w:pPr>
              <w:pStyle w:val="179"/>
              <w:rPr>
                <w:rFonts w:hint="default"/>
              </w:rPr>
            </w:pPr>
          </w:p>
        </w:tc>
        <w:tc>
          <w:tcPr>
            <w:tcW w:w="3513" w:type="pct"/>
            <w:gridSpan w:val="5"/>
            <w:shd w:val="clear" w:color="auto" w:fill="auto"/>
            <w:vAlign w:val="center"/>
          </w:tcPr>
          <w:p w14:paraId="02C85A3D">
            <w:pPr>
              <w:pStyle w:val="179"/>
              <w:rPr>
                <w:rFonts w:hint="default"/>
              </w:rPr>
            </w:pPr>
            <w:r>
              <w:t>废弃物排放标准应符合GB 16297、GB 9078、GB 13271的要求</w:t>
            </w:r>
          </w:p>
        </w:tc>
        <w:tc>
          <w:tcPr>
            <w:tcW w:w="731" w:type="pct"/>
            <w:vMerge w:val="continue"/>
            <w:shd w:val="clear" w:color="auto" w:fill="auto"/>
            <w:vAlign w:val="center"/>
          </w:tcPr>
          <w:p w14:paraId="2CDE7398">
            <w:pPr>
              <w:pStyle w:val="179"/>
              <w:rPr>
                <w:rFonts w:hint="default"/>
              </w:rPr>
            </w:pPr>
          </w:p>
        </w:tc>
      </w:tr>
      <w:tr w14:paraId="39C6B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29C87BC">
            <w:pPr>
              <w:pStyle w:val="179"/>
              <w:rPr>
                <w:rFonts w:hint="default"/>
              </w:rPr>
            </w:pPr>
            <w:r>
              <w:t>14</w:t>
            </w:r>
          </w:p>
        </w:tc>
        <w:tc>
          <w:tcPr>
            <w:tcW w:w="474" w:type="pct"/>
            <w:vMerge w:val="continue"/>
            <w:shd w:val="clear" w:color="auto" w:fill="auto"/>
            <w:vAlign w:val="center"/>
          </w:tcPr>
          <w:p w14:paraId="1A00F30A">
            <w:pPr>
              <w:pStyle w:val="179"/>
              <w:rPr>
                <w:rFonts w:hint="default"/>
              </w:rPr>
            </w:pPr>
          </w:p>
        </w:tc>
        <w:tc>
          <w:tcPr>
            <w:tcW w:w="3513" w:type="pct"/>
            <w:gridSpan w:val="5"/>
            <w:shd w:val="clear" w:color="auto" w:fill="auto"/>
            <w:vAlign w:val="center"/>
          </w:tcPr>
          <w:p w14:paraId="35741E3B">
            <w:pPr>
              <w:pStyle w:val="179"/>
              <w:rPr>
                <w:rFonts w:hint="default"/>
              </w:rPr>
            </w:pPr>
            <w:r>
              <w:t>采用相应的先进设备和技术过滤生产车间的有害气体、粉尘、噪音等</w:t>
            </w:r>
          </w:p>
        </w:tc>
        <w:tc>
          <w:tcPr>
            <w:tcW w:w="731" w:type="pct"/>
            <w:shd w:val="clear" w:color="auto" w:fill="auto"/>
            <w:vAlign w:val="center"/>
          </w:tcPr>
          <w:p w14:paraId="144C57CC">
            <w:pPr>
              <w:pStyle w:val="179"/>
              <w:rPr>
                <w:rFonts w:hint="default"/>
              </w:rPr>
            </w:pPr>
            <w:r>
              <w:t>现场查看</w:t>
            </w:r>
          </w:p>
        </w:tc>
      </w:tr>
      <w:tr w14:paraId="5278D6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0" w:hRule="atLeast"/>
          <w:jc w:val="center"/>
        </w:trPr>
        <w:tc>
          <w:tcPr>
            <w:tcW w:w="280" w:type="pct"/>
            <w:shd w:val="clear" w:color="auto" w:fill="auto"/>
            <w:vAlign w:val="center"/>
          </w:tcPr>
          <w:p w14:paraId="75F2D410">
            <w:pPr>
              <w:pStyle w:val="179"/>
              <w:rPr>
                <w:rFonts w:hint="default"/>
              </w:rPr>
            </w:pPr>
            <w:r>
              <w:t>15</w:t>
            </w:r>
          </w:p>
        </w:tc>
        <w:tc>
          <w:tcPr>
            <w:tcW w:w="474" w:type="pct"/>
            <w:vMerge w:val="continue"/>
            <w:shd w:val="clear" w:color="auto" w:fill="auto"/>
            <w:vAlign w:val="center"/>
          </w:tcPr>
          <w:p w14:paraId="4DD19C8E">
            <w:pPr>
              <w:pStyle w:val="179"/>
              <w:rPr>
                <w:rFonts w:hint="default"/>
              </w:rPr>
            </w:pPr>
          </w:p>
        </w:tc>
        <w:tc>
          <w:tcPr>
            <w:tcW w:w="3513" w:type="pct"/>
            <w:gridSpan w:val="5"/>
            <w:shd w:val="clear" w:color="auto" w:fill="auto"/>
            <w:vAlign w:val="center"/>
          </w:tcPr>
          <w:p w14:paraId="5810C36D">
            <w:pPr>
              <w:pStyle w:val="179"/>
              <w:rPr>
                <w:rFonts w:hint="default"/>
              </w:rPr>
            </w:pPr>
            <w:r>
              <w:t>生产场所空气中化学物质及粉尘容许浓度/（mg/m</w:t>
            </w:r>
            <w:r>
              <w:rPr>
                <w:vertAlign w:val="superscript"/>
              </w:rPr>
              <w:t>3</w:t>
            </w:r>
            <w:r>
              <w:t>）应符合GBZ</w:t>
            </w:r>
            <w:r>
              <w:rPr>
                <w:rFonts w:hint="default"/>
              </w:rPr>
              <w:t xml:space="preserve"> </w:t>
            </w:r>
            <w:r>
              <w:t>2.1的规定，保障员工职业健康安全。</w:t>
            </w:r>
          </w:p>
        </w:tc>
        <w:tc>
          <w:tcPr>
            <w:tcW w:w="731" w:type="pct"/>
            <w:shd w:val="clear" w:color="auto" w:fill="auto"/>
            <w:vAlign w:val="center"/>
          </w:tcPr>
          <w:p w14:paraId="2F4939A2">
            <w:pPr>
              <w:pStyle w:val="179"/>
              <w:rPr>
                <w:rFonts w:hint="default"/>
              </w:rPr>
            </w:pPr>
            <w:r>
              <w:t>GBZ 2.1，GBZ 159、GBZ/T 160、GBZ/T 192.2</w:t>
            </w:r>
          </w:p>
        </w:tc>
      </w:tr>
      <w:tr w14:paraId="4B9E4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280" w:type="pct"/>
            <w:shd w:val="clear" w:color="auto" w:fill="auto"/>
            <w:vAlign w:val="center"/>
          </w:tcPr>
          <w:p w14:paraId="08409A1A">
            <w:pPr>
              <w:pStyle w:val="179"/>
              <w:rPr>
                <w:rFonts w:hint="default"/>
              </w:rPr>
            </w:pPr>
            <w:r>
              <w:t>16</w:t>
            </w:r>
          </w:p>
        </w:tc>
        <w:tc>
          <w:tcPr>
            <w:tcW w:w="474" w:type="pct"/>
            <w:vMerge w:val="restart"/>
            <w:shd w:val="clear" w:color="auto" w:fill="auto"/>
            <w:vAlign w:val="center"/>
          </w:tcPr>
          <w:p w14:paraId="03C968BD">
            <w:pPr>
              <w:pStyle w:val="179"/>
              <w:rPr>
                <w:rFonts w:hint="default"/>
              </w:rPr>
            </w:pPr>
            <w:r>
              <w:t>生态协同</w:t>
            </w:r>
          </w:p>
        </w:tc>
        <w:tc>
          <w:tcPr>
            <w:tcW w:w="681" w:type="pct"/>
            <w:shd w:val="clear" w:color="auto" w:fill="auto"/>
            <w:vAlign w:val="center"/>
          </w:tcPr>
          <w:p w14:paraId="75E81153">
            <w:pPr>
              <w:pStyle w:val="179"/>
              <w:rPr>
                <w:rFonts w:hint="default"/>
              </w:rPr>
            </w:pPr>
            <w:r>
              <w:t>供应链管理</w:t>
            </w:r>
          </w:p>
        </w:tc>
        <w:tc>
          <w:tcPr>
            <w:tcW w:w="2831" w:type="pct"/>
            <w:gridSpan w:val="4"/>
            <w:shd w:val="clear" w:color="auto" w:fill="auto"/>
            <w:vAlign w:val="center"/>
          </w:tcPr>
          <w:p w14:paraId="24AD91D0">
            <w:pPr>
              <w:pStyle w:val="179"/>
              <w:rPr>
                <w:rFonts w:hint="default"/>
              </w:rPr>
            </w:pPr>
            <w:r>
              <w:t>生产企业应按照GB/T 33635的要求，推行绿色供应链</w:t>
            </w:r>
            <w:r>
              <w:rPr>
                <w:rFonts w:hint="default"/>
              </w:rPr>
              <w:t>管理，带动</w:t>
            </w:r>
            <w:r>
              <w:t>供应链</w:t>
            </w:r>
            <w:r>
              <w:rPr>
                <w:rFonts w:hint="default"/>
              </w:rPr>
              <w:t>上下游企业持续提高资源能源利用效率，改善环境绩效，实现绿色发展。</w:t>
            </w:r>
          </w:p>
        </w:tc>
        <w:tc>
          <w:tcPr>
            <w:tcW w:w="731" w:type="pct"/>
            <w:shd w:val="clear" w:color="auto" w:fill="auto"/>
            <w:vAlign w:val="center"/>
          </w:tcPr>
          <w:p w14:paraId="5FF4EF3C">
            <w:pPr>
              <w:pStyle w:val="179"/>
              <w:rPr>
                <w:rFonts w:hint="default"/>
              </w:rPr>
            </w:pPr>
            <w:r>
              <w:t>查看</w:t>
            </w:r>
            <w:r>
              <w:rPr>
                <w:rFonts w:hint="default"/>
              </w:rPr>
              <w:t>供应商</w:t>
            </w:r>
            <w:r>
              <w:t>相关</w:t>
            </w:r>
            <w:r>
              <w:rPr>
                <w:rFonts w:hint="default"/>
              </w:rPr>
              <w:t>文件</w:t>
            </w:r>
          </w:p>
        </w:tc>
      </w:tr>
      <w:tr w14:paraId="20B997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80" w:type="pct"/>
            <w:shd w:val="clear" w:color="auto" w:fill="auto"/>
            <w:vAlign w:val="center"/>
          </w:tcPr>
          <w:p w14:paraId="09A0E726">
            <w:pPr>
              <w:pStyle w:val="179"/>
              <w:rPr>
                <w:rFonts w:hint="default"/>
              </w:rPr>
            </w:pPr>
            <w:r>
              <w:t>17</w:t>
            </w:r>
          </w:p>
        </w:tc>
        <w:tc>
          <w:tcPr>
            <w:tcW w:w="474" w:type="pct"/>
            <w:vMerge w:val="continue"/>
            <w:shd w:val="clear" w:color="auto" w:fill="auto"/>
            <w:vAlign w:val="center"/>
          </w:tcPr>
          <w:p w14:paraId="04D05C8A">
            <w:pPr>
              <w:pStyle w:val="179"/>
              <w:rPr>
                <w:rFonts w:hint="default"/>
              </w:rPr>
            </w:pPr>
          </w:p>
        </w:tc>
        <w:tc>
          <w:tcPr>
            <w:tcW w:w="681" w:type="pct"/>
            <w:shd w:val="clear" w:color="auto" w:fill="auto"/>
            <w:vAlign w:val="center"/>
          </w:tcPr>
          <w:p w14:paraId="0BC82E94">
            <w:pPr>
              <w:pStyle w:val="179"/>
              <w:rPr>
                <w:rFonts w:hint="default"/>
              </w:rPr>
            </w:pPr>
            <w:r>
              <w:t>产品生态设计</w:t>
            </w:r>
          </w:p>
        </w:tc>
        <w:tc>
          <w:tcPr>
            <w:tcW w:w="2831" w:type="pct"/>
            <w:gridSpan w:val="4"/>
            <w:shd w:val="clear" w:color="auto" w:fill="auto"/>
            <w:vAlign w:val="center"/>
          </w:tcPr>
          <w:p w14:paraId="0D1BAB04">
            <w:pPr>
              <w:pStyle w:val="179"/>
              <w:rPr>
                <w:rFonts w:hint="default"/>
              </w:rPr>
            </w:pPr>
            <w:r>
              <w:t>应按照GB/T 24256的要求，以生态</w:t>
            </w:r>
            <w:r>
              <w:rPr>
                <w:rFonts w:hint="default"/>
              </w:rPr>
              <w:t>环境</w:t>
            </w:r>
            <w:r>
              <w:t>的</w:t>
            </w:r>
            <w:r>
              <w:rPr>
                <w:rFonts w:hint="default"/>
              </w:rPr>
              <w:t>负面</w:t>
            </w:r>
            <w:r>
              <w:t>影响最小作为</w:t>
            </w:r>
            <w:r>
              <w:rPr>
                <w:rFonts w:hint="default"/>
              </w:rPr>
              <w:t xml:space="preserve">基本原则。 </w:t>
            </w:r>
          </w:p>
        </w:tc>
        <w:tc>
          <w:tcPr>
            <w:tcW w:w="731" w:type="pct"/>
            <w:shd w:val="clear" w:color="auto" w:fill="auto"/>
            <w:vAlign w:val="center"/>
          </w:tcPr>
          <w:p w14:paraId="5C6A1AC6">
            <w:pPr>
              <w:pStyle w:val="179"/>
              <w:rPr>
                <w:rFonts w:hint="default"/>
              </w:rPr>
            </w:pPr>
            <w:r>
              <w:t>依据GB</w:t>
            </w:r>
            <w:r>
              <w:rPr>
                <w:rFonts w:hint="default"/>
              </w:rPr>
              <w:t>/T 32161</w:t>
            </w:r>
            <w:r>
              <w:t>进行</w:t>
            </w:r>
            <w:r>
              <w:rPr>
                <w:rFonts w:hint="default"/>
              </w:rPr>
              <w:t>生态</w:t>
            </w:r>
            <w:r>
              <w:t>设计</w:t>
            </w:r>
            <w:r>
              <w:rPr>
                <w:rFonts w:hint="default"/>
              </w:rPr>
              <w:t>评价</w:t>
            </w:r>
          </w:p>
        </w:tc>
      </w:tr>
      <w:tr w14:paraId="148DA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CE84B2C">
            <w:pPr>
              <w:pStyle w:val="179"/>
              <w:rPr>
                <w:rFonts w:hint="default"/>
              </w:rPr>
            </w:pPr>
            <w:r>
              <w:t>18</w:t>
            </w:r>
          </w:p>
        </w:tc>
        <w:tc>
          <w:tcPr>
            <w:tcW w:w="474" w:type="pct"/>
            <w:vMerge w:val="restart"/>
            <w:shd w:val="clear" w:color="auto" w:fill="auto"/>
            <w:vAlign w:val="center"/>
          </w:tcPr>
          <w:p w14:paraId="3DD88C77">
            <w:pPr>
              <w:pStyle w:val="179"/>
              <w:rPr>
                <w:rFonts w:hint="default"/>
              </w:rPr>
            </w:pPr>
            <w:r>
              <w:t>质量引领</w:t>
            </w:r>
          </w:p>
        </w:tc>
        <w:tc>
          <w:tcPr>
            <w:tcW w:w="681" w:type="pct"/>
            <w:vMerge w:val="restart"/>
            <w:shd w:val="clear" w:color="auto" w:fill="auto"/>
            <w:vAlign w:val="center"/>
          </w:tcPr>
          <w:p w14:paraId="233248E2">
            <w:pPr>
              <w:pStyle w:val="179"/>
              <w:rPr>
                <w:rFonts w:hint="default"/>
              </w:rPr>
            </w:pPr>
            <w:r>
              <w:t>产品有害物质</w:t>
            </w:r>
          </w:p>
        </w:tc>
        <w:tc>
          <w:tcPr>
            <w:tcW w:w="1005" w:type="pct"/>
            <w:vMerge w:val="restart"/>
            <w:shd w:val="clear" w:color="auto" w:fill="auto"/>
            <w:vAlign w:val="center"/>
          </w:tcPr>
          <w:p w14:paraId="2F9361CE">
            <w:pPr>
              <w:pStyle w:val="179"/>
              <w:rPr>
                <w:rFonts w:hint="default"/>
              </w:rPr>
            </w:pPr>
            <w:r>
              <w:t>有害气体（mg/m</w:t>
            </w:r>
            <w:r>
              <w:rPr>
                <w:vertAlign w:val="superscript"/>
              </w:rPr>
              <w:t>3</w:t>
            </w:r>
            <w:r>
              <w:t>）</w:t>
            </w:r>
          </w:p>
        </w:tc>
        <w:tc>
          <w:tcPr>
            <w:tcW w:w="1032" w:type="pct"/>
            <w:gridSpan w:val="2"/>
            <w:shd w:val="clear" w:color="auto" w:fill="auto"/>
            <w:vAlign w:val="center"/>
          </w:tcPr>
          <w:p w14:paraId="639656E1">
            <w:pPr>
              <w:pStyle w:val="179"/>
              <w:rPr>
                <w:rFonts w:hint="default"/>
              </w:rPr>
            </w:pPr>
            <w:r>
              <w:t>甲醛释放量</w:t>
            </w:r>
          </w:p>
        </w:tc>
        <w:tc>
          <w:tcPr>
            <w:tcW w:w="792" w:type="pct"/>
            <w:shd w:val="clear" w:color="auto" w:fill="auto"/>
            <w:vAlign w:val="center"/>
          </w:tcPr>
          <w:p w14:paraId="1AAE91F4">
            <w:pPr>
              <w:pStyle w:val="179"/>
              <w:rPr>
                <w:rFonts w:hint="default"/>
              </w:rPr>
            </w:pPr>
            <w:r>
              <w:t>≤0.05</w:t>
            </w:r>
          </w:p>
        </w:tc>
        <w:tc>
          <w:tcPr>
            <w:tcW w:w="731" w:type="pct"/>
            <w:vMerge w:val="restart"/>
            <w:shd w:val="clear" w:color="auto" w:fill="auto"/>
            <w:vAlign w:val="center"/>
          </w:tcPr>
          <w:p w14:paraId="24ED7E39">
            <w:pPr>
              <w:pStyle w:val="179"/>
              <w:rPr>
                <w:rFonts w:hint="default"/>
              </w:rPr>
            </w:pPr>
            <w:r>
              <w:t>GB/T 35607</w:t>
            </w:r>
          </w:p>
        </w:tc>
      </w:tr>
      <w:tr w14:paraId="41A01D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211051DB">
            <w:pPr>
              <w:pStyle w:val="179"/>
              <w:rPr>
                <w:rFonts w:hint="default"/>
              </w:rPr>
            </w:pPr>
            <w:r>
              <w:t>19</w:t>
            </w:r>
          </w:p>
        </w:tc>
        <w:tc>
          <w:tcPr>
            <w:tcW w:w="474" w:type="pct"/>
            <w:vMerge w:val="continue"/>
            <w:shd w:val="clear" w:color="auto" w:fill="auto"/>
            <w:vAlign w:val="center"/>
          </w:tcPr>
          <w:p w14:paraId="4DED3581">
            <w:pPr>
              <w:pStyle w:val="179"/>
              <w:rPr>
                <w:rFonts w:hint="default"/>
              </w:rPr>
            </w:pPr>
          </w:p>
        </w:tc>
        <w:tc>
          <w:tcPr>
            <w:tcW w:w="681" w:type="pct"/>
            <w:vMerge w:val="continue"/>
            <w:shd w:val="clear" w:color="auto" w:fill="auto"/>
            <w:vAlign w:val="center"/>
          </w:tcPr>
          <w:p w14:paraId="46DABBFB">
            <w:pPr>
              <w:pStyle w:val="179"/>
              <w:rPr>
                <w:rFonts w:hint="default"/>
              </w:rPr>
            </w:pPr>
          </w:p>
        </w:tc>
        <w:tc>
          <w:tcPr>
            <w:tcW w:w="1005" w:type="pct"/>
            <w:vMerge w:val="continue"/>
            <w:shd w:val="clear" w:color="auto" w:fill="auto"/>
            <w:vAlign w:val="center"/>
          </w:tcPr>
          <w:p w14:paraId="0389C93D">
            <w:pPr>
              <w:pStyle w:val="179"/>
              <w:rPr>
                <w:rFonts w:hint="default"/>
              </w:rPr>
            </w:pPr>
          </w:p>
        </w:tc>
        <w:tc>
          <w:tcPr>
            <w:tcW w:w="1032" w:type="pct"/>
            <w:gridSpan w:val="2"/>
            <w:shd w:val="clear" w:color="auto" w:fill="auto"/>
            <w:vAlign w:val="center"/>
          </w:tcPr>
          <w:p w14:paraId="69C15440">
            <w:pPr>
              <w:pStyle w:val="179"/>
              <w:rPr>
                <w:rFonts w:hint="default"/>
              </w:rPr>
            </w:pPr>
            <w:r>
              <w:t>苯</w:t>
            </w:r>
          </w:p>
        </w:tc>
        <w:tc>
          <w:tcPr>
            <w:tcW w:w="792" w:type="pct"/>
            <w:shd w:val="clear" w:color="auto" w:fill="auto"/>
            <w:vAlign w:val="center"/>
          </w:tcPr>
          <w:p w14:paraId="3DC3CF92">
            <w:pPr>
              <w:pStyle w:val="179"/>
              <w:rPr>
                <w:rFonts w:hint="default"/>
              </w:rPr>
            </w:pPr>
            <w:r>
              <w:t>≤0.05</w:t>
            </w:r>
          </w:p>
        </w:tc>
        <w:tc>
          <w:tcPr>
            <w:tcW w:w="731" w:type="pct"/>
            <w:vMerge w:val="continue"/>
            <w:shd w:val="clear" w:color="auto" w:fill="auto"/>
            <w:vAlign w:val="center"/>
          </w:tcPr>
          <w:p w14:paraId="7B29ADDD">
            <w:pPr>
              <w:pStyle w:val="179"/>
              <w:rPr>
                <w:rFonts w:hint="default"/>
              </w:rPr>
            </w:pPr>
          </w:p>
        </w:tc>
      </w:tr>
      <w:tr w14:paraId="38BFEA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0D87EE41">
            <w:pPr>
              <w:pStyle w:val="179"/>
              <w:rPr>
                <w:rFonts w:hint="default"/>
              </w:rPr>
            </w:pPr>
            <w:r>
              <w:t>20</w:t>
            </w:r>
          </w:p>
        </w:tc>
        <w:tc>
          <w:tcPr>
            <w:tcW w:w="474" w:type="pct"/>
            <w:vMerge w:val="continue"/>
            <w:shd w:val="clear" w:color="auto" w:fill="auto"/>
            <w:vAlign w:val="center"/>
          </w:tcPr>
          <w:p w14:paraId="66327102">
            <w:pPr>
              <w:pStyle w:val="179"/>
              <w:rPr>
                <w:rFonts w:hint="default"/>
              </w:rPr>
            </w:pPr>
          </w:p>
        </w:tc>
        <w:tc>
          <w:tcPr>
            <w:tcW w:w="681" w:type="pct"/>
            <w:vMerge w:val="continue"/>
            <w:shd w:val="clear" w:color="auto" w:fill="auto"/>
            <w:vAlign w:val="center"/>
          </w:tcPr>
          <w:p w14:paraId="749F2030">
            <w:pPr>
              <w:pStyle w:val="179"/>
              <w:rPr>
                <w:rFonts w:hint="default"/>
              </w:rPr>
            </w:pPr>
          </w:p>
        </w:tc>
        <w:tc>
          <w:tcPr>
            <w:tcW w:w="1005" w:type="pct"/>
            <w:vMerge w:val="continue"/>
            <w:shd w:val="clear" w:color="auto" w:fill="auto"/>
            <w:vAlign w:val="center"/>
          </w:tcPr>
          <w:p w14:paraId="78CAA2B7">
            <w:pPr>
              <w:pStyle w:val="179"/>
              <w:rPr>
                <w:rFonts w:hint="default"/>
              </w:rPr>
            </w:pPr>
          </w:p>
        </w:tc>
        <w:tc>
          <w:tcPr>
            <w:tcW w:w="1032" w:type="pct"/>
            <w:gridSpan w:val="2"/>
            <w:shd w:val="clear" w:color="auto" w:fill="auto"/>
            <w:vAlign w:val="center"/>
          </w:tcPr>
          <w:p w14:paraId="1CB1BC61">
            <w:pPr>
              <w:pStyle w:val="179"/>
              <w:rPr>
                <w:rFonts w:hint="default"/>
              </w:rPr>
            </w:pPr>
            <w:r>
              <w:t>甲苯</w:t>
            </w:r>
          </w:p>
        </w:tc>
        <w:tc>
          <w:tcPr>
            <w:tcW w:w="792" w:type="pct"/>
            <w:shd w:val="clear" w:color="auto" w:fill="auto"/>
            <w:vAlign w:val="center"/>
          </w:tcPr>
          <w:p w14:paraId="2F628A54">
            <w:pPr>
              <w:pStyle w:val="179"/>
              <w:rPr>
                <w:rFonts w:hint="default"/>
              </w:rPr>
            </w:pPr>
            <w:r>
              <w:t>≤0.1</w:t>
            </w:r>
          </w:p>
        </w:tc>
        <w:tc>
          <w:tcPr>
            <w:tcW w:w="731" w:type="pct"/>
            <w:vMerge w:val="continue"/>
            <w:shd w:val="clear" w:color="auto" w:fill="auto"/>
            <w:vAlign w:val="center"/>
          </w:tcPr>
          <w:p w14:paraId="4EE0E5C0">
            <w:pPr>
              <w:pStyle w:val="179"/>
              <w:rPr>
                <w:rFonts w:hint="default"/>
              </w:rPr>
            </w:pPr>
          </w:p>
        </w:tc>
      </w:tr>
      <w:tr w14:paraId="412903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A3E87E1">
            <w:pPr>
              <w:pStyle w:val="179"/>
              <w:rPr>
                <w:rFonts w:hint="default"/>
              </w:rPr>
            </w:pPr>
            <w:r>
              <w:t>21</w:t>
            </w:r>
          </w:p>
        </w:tc>
        <w:tc>
          <w:tcPr>
            <w:tcW w:w="474" w:type="pct"/>
            <w:vMerge w:val="continue"/>
            <w:shd w:val="clear" w:color="auto" w:fill="auto"/>
            <w:vAlign w:val="center"/>
          </w:tcPr>
          <w:p w14:paraId="135491AA">
            <w:pPr>
              <w:pStyle w:val="179"/>
              <w:rPr>
                <w:rFonts w:hint="default"/>
              </w:rPr>
            </w:pPr>
          </w:p>
        </w:tc>
        <w:tc>
          <w:tcPr>
            <w:tcW w:w="681" w:type="pct"/>
            <w:vMerge w:val="continue"/>
            <w:shd w:val="clear" w:color="auto" w:fill="auto"/>
            <w:vAlign w:val="center"/>
          </w:tcPr>
          <w:p w14:paraId="6D81CFE9">
            <w:pPr>
              <w:pStyle w:val="179"/>
              <w:rPr>
                <w:rFonts w:hint="default"/>
              </w:rPr>
            </w:pPr>
          </w:p>
        </w:tc>
        <w:tc>
          <w:tcPr>
            <w:tcW w:w="1005" w:type="pct"/>
            <w:vMerge w:val="continue"/>
            <w:shd w:val="clear" w:color="auto" w:fill="auto"/>
            <w:vAlign w:val="center"/>
          </w:tcPr>
          <w:p w14:paraId="12B26C6D">
            <w:pPr>
              <w:pStyle w:val="179"/>
              <w:rPr>
                <w:rFonts w:hint="default"/>
              </w:rPr>
            </w:pPr>
          </w:p>
        </w:tc>
        <w:tc>
          <w:tcPr>
            <w:tcW w:w="1032" w:type="pct"/>
            <w:gridSpan w:val="2"/>
            <w:shd w:val="clear" w:color="auto" w:fill="auto"/>
            <w:vAlign w:val="center"/>
          </w:tcPr>
          <w:p w14:paraId="430FAA4C">
            <w:pPr>
              <w:pStyle w:val="179"/>
              <w:rPr>
                <w:rFonts w:hint="default"/>
              </w:rPr>
            </w:pPr>
            <w:r>
              <w:t>二甲苯</w:t>
            </w:r>
          </w:p>
        </w:tc>
        <w:tc>
          <w:tcPr>
            <w:tcW w:w="792" w:type="pct"/>
            <w:shd w:val="clear" w:color="auto" w:fill="auto"/>
            <w:vAlign w:val="center"/>
          </w:tcPr>
          <w:p w14:paraId="0ED0F14E">
            <w:pPr>
              <w:pStyle w:val="179"/>
              <w:rPr>
                <w:rFonts w:hint="default"/>
              </w:rPr>
            </w:pPr>
            <w:r>
              <w:t>≤0.1</w:t>
            </w:r>
          </w:p>
        </w:tc>
        <w:tc>
          <w:tcPr>
            <w:tcW w:w="731" w:type="pct"/>
            <w:vMerge w:val="continue"/>
            <w:shd w:val="clear" w:color="auto" w:fill="auto"/>
            <w:vAlign w:val="center"/>
          </w:tcPr>
          <w:p w14:paraId="64719170">
            <w:pPr>
              <w:pStyle w:val="179"/>
              <w:rPr>
                <w:rFonts w:hint="default"/>
              </w:rPr>
            </w:pPr>
          </w:p>
        </w:tc>
      </w:tr>
      <w:tr w14:paraId="0E37A3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2CCD3DD9">
            <w:pPr>
              <w:pStyle w:val="179"/>
              <w:rPr>
                <w:rFonts w:hint="default"/>
              </w:rPr>
            </w:pPr>
            <w:r>
              <w:t>22</w:t>
            </w:r>
          </w:p>
        </w:tc>
        <w:tc>
          <w:tcPr>
            <w:tcW w:w="474" w:type="pct"/>
            <w:vMerge w:val="continue"/>
            <w:shd w:val="clear" w:color="auto" w:fill="auto"/>
            <w:vAlign w:val="center"/>
          </w:tcPr>
          <w:p w14:paraId="34B2C530">
            <w:pPr>
              <w:pStyle w:val="179"/>
              <w:rPr>
                <w:rFonts w:hint="default"/>
              </w:rPr>
            </w:pPr>
          </w:p>
        </w:tc>
        <w:tc>
          <w:tcPr>
            <w:tcW w:w="681" w:type="pct"/>
            <w:vMerge w:val="continue"/>
            <w:shd w:val="clear" w:color="auto" w:fill="auto"/>
            <w:vAlign w:val="center"/>
          </w:tcPr>
          <w:p w14:paraId="40AAFE4E">
            <w:pPr>
              <w:pStyle w:val="179"/>
              <w:rPr>
                <w:rFonts w:hint="default"/>
              </w:rPr>
            </w:pPr>
          </w:p>
        </w:tc>
        <w:tc>
          <w:tcPr>
            <w:tcW w:w="1005" w:type="pct"/>
            <w:vMerge w:val="continue"/>
            <w:shd w:val="clear" w:color="auto" w:fill="auto"/>
            <w:vAlign w:val="center"/>
          </w:tcPr>
          <w:p w14:paraId="4C6B3D6B">
            <w:pPr>
              <w:pStyle w:val="179"/>
              <w:rPr>
                <w:rFonts w:hint="default"/>
              </w:rPr>
            </w:pPr>
          </w:p>
        </w:tc>
        <w:tc>
          <w:tcPr>
            <w:tcW w:w="1032" w:type="pct"/>
            <w:gridSpan w:val="2"/>
            <w:shd w:val="clear" w:color="auto" w:fill="auto"/>
            <w:vAlign w:val="center"/>
          </w:tcPr>
          <w:p w14:paraId="1789076D">
            <w:pPr>
              <w:pStyle w:val="179"/>
              <w:rPr>
                <w:rFonts w:hint="default"/>
              </w:rPr>
            </w:pPr>
            <w:r>
              <w:t>总挥发性有机化合物</w:t>
            </w:r>
          </w:p>
        </w:tc>
        <w:tc>
          <w:tcPr>
            <w:tcW w:w="792" w:type="pct"/>
            <w:shd w:val="clear" w:color="auto" w:fill="auto"/>
            <w:vAlign w:val="center"/>
          </w:tcPr>
          <w:p w14:paraId="00DB06E9">
            <w:pPr>
              <w:pStyle w:val="179"/>
              <w:rPr>
                <w:rFonts w:hint="default"/>
              </w:rPr>
            </w:pPr>
            <w:r>
              <w:t>≤0.3</w:t>
            </w:r>
          </w:p>
        </w:tc>
        <w:tc>
          <w:tcPr>
            <w:tcW w:w="731" w:type="pct"/>
            <w:vMerge w:val="continue"/>
            <w:shd w:val="clear" w:color="auto" w:fill="auto"/>
            <w:vAlign w:val="center"/>
          </w:tcPr>
          <w:p w14:paraId="265003B3">
            <w:pPr>
              <w:pStyle w:val="179"/>
              <w:rPr>
                <w:rFonts w:hint="default"/>
              </w:rPr>
            </w:pPr>
          </w:p>
        </w:tc>
      </w:tr>
      <w:tr w14:paraId="652E5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2A7302E">
            <w:pPr>
              <w:pStyle w:val="179"/>
              <w:rPr>
                <w:rFonts w:hint="default"/>
              </w:rPr>
            </w:pPr>
            <w:r>
              <w:t>23</w:t>
            </w:r>
          </w:p>
        </w:tc>
        <w:tc>
          <w:tcPr>
            <w:tcW w:w="474" w:type="pct"/>
            <w:vMerge w:val="continue"/>
            <w:shd w:val="clear" w:color="auto" w:fill="auto"/>
            <w:vAlign w:val="center"/>
          </w:tcPr>
          <w:p w14:paraId="6E8C027D">
            <w:pPr>
              <w:pStyle w:val="179"/>
              <w:rPr>
                <w:rFonts w:hint="default"/>
              </w:rPr>
            </w:pPr>
          </w:p>
        </w:tc>
        <w:tc>
          <w:tcPr>
            <w:tcW w:w="681" w:type="pct"/>
            <w:vMerge w:val="continue"/>
            <w:shd w:val="clear" w:color="auto" w:fill="auto"/>
            <w:vAlign w:val="center"/>
          </w:tcPr>
          <w:p w14:paraId="0117B1A0">
            <w:pPr>
              <w:pStyle w:val="179"/>
              <w:rPr>
                <w:rFonts w:hint="default"/>
              </w:rPr>
            </w:pPr>
          </w:p>
        </w:tc>
        <w:tc>
          <w:tcPr>
            <w:tcW w:w="1005" w:type="pct"/>
            <w:vMerge w:val="restart"/>
            <w:shd w:val="clear" w:color="auto" w:fill="auto"/>
            <w:vAlign w:val="center"/>
          </w:tcPr>
          <w:p w14:paraId="4A9E6A74">
            <w:pPr>
              <w:pStyle w:val="179"/>
              <w:rPr>
                <w:rFonts w:hint="default"/>
              </w:rPr>
            </w:pPr>
            <w:r>
              <w:t>家具涂层可迁移元素（mg/kg）</w:t>
            </w:r>
          </w:p>
        </w:tc>
        <w:tc>
          <w:tcPr>
            <w:tcW w:w="1032" w:type="pct"/>
            <w:gridSpan w:val="2"/>
            <w:shd w:val="clear" w:color="auto" w:fill="auto"/>
            <w:vAlign w:val="center"/>
          </w:tcPr>
          <w:p w14:paraId="5CA29250">
            <w:pPr>
              <w:pStyle w:val="179"/>
              <w:rPr>
                <w:rFonts w:hint="default"/>
              </w:rPr>
            </w:pPr>
            <w:r>
              <w:t>铅Pb</w:t>
            </w:r>
          </w:p>
        </w:tc>
        <w:tc>
          <w:tcPr>
            <w:tcW w:w="792" w:type="pct"/>
            <w:shd w:val="clear" w:color="auto" w:fill="auto"/>
            <w:vAlign w:val="center"/>
          </w:tcPr>
          <w:p w14:paraId="28363380">
            <w:pPr>
              <w:pStyle w:val="179"/>
              <w:rPr>
                <w:rFonts w:hint="default"/>
              </w:rPr>
            </w:pPr>
            <w:r>
              <w:t>≤90</w:t>
            </w:r>
          </w:p>
        </w:tc>
        <w:tc>
          <w:tcPr>
            <w:tcW w:w="731" w:type="pct"/>
            <w:vMerge w:val="continue"/>
            <w:shd w:val="clear" w:color="auto" w:fill="auto"/>
            <w:vAlign w:val="center"/>
          </w:tcPr>
          <w:p w14:paraId="2F87A331">
            <w:pPr>
              <w:pStyle w:val="179"/>
              <w:rPr>
                <w:rFonts w:hint="default"/>
              </w:rPr>
            </w:pPr>
          </w:p>
        </w:tc>
      </w:tr>
      <w:tr w14:paraId="7FF0C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63434AC7">
            <w:pPr>
              <w:pStyle w:val="179"/>
              <w:rPr>
                <w:rFonts w:hint="default"/>
              </w:rPr>
            </w:pPr>
            <w:r>
              <w:t>24</w:t>
            </w:r>
          </w:p>
        </w:tc>
        <w:tc>
          <w:tcPr>
            <w:tcW w:w="474" w:type="pct"/>
            <w:vMerge w:val="continue"/>
            <w:shd w:val="clear" w:color="auto" w:fill="auto"/>
            <w:vAlign w:val="center"/>
          </w:tcPr>
          <w:p w14:paraId="45EF322B">
            <w:pPr>
              <w:pStyle w:val="179"/>
              <w:rPr>
                <w:rFonts w:hint="default"/>
              </w:rPr>
            </w:pPr>
          </w:p>
        </w:tc>
        <w:tc>
          <w:tcPr>
            <w:tcW w:w="681" w:type="pct"/>
            <w:vMerge w:val="continue"/>
            <w:shd w:val="clear" w:color="auto" w:fill="auto"/>
            <w:vAlign w:val="center"/>
          </w:tcPr>
          <w:p w14:paraId="3B24D547">
            <w:pPr>
              <w:pStyle w:val="179"/>
              <w:rPr>
                <w:rFonts w:hint="default"/>
              </w:rPr>
            </w:pPr>
          </w:p>
        </w:tc>
        <w:tc>
          <w:tcPr>
            <w:tcW w:w="1005" w:type="pct"/>
            <w:vMerge w:val="continue"/>
            <w:shd w:val="clear" w:color="auto" w:fill="auto"/>
            <w:vAlign w:val="center"/>
          </w:tcPr>
          <w:p w14:paraId="222FF30E">
            <w:pPr>
              <w:pStyle w:val="179"/>
              <w:rPr>
                <w:rFonts w:hint="default"/>
              </w:rPr>
            </w:pPr>
          </w:p>
        </w:tc>
        <w:tc>
          <w:tcPr>
            <w:tcW w:w="1032" w:type="pct"/>
            <w:gridSpan w:val="2"/>
            <w:shd w:val="clear" w:color="auto" w:fill="auto"/>
            <w:vAlign w:val="center"/>
          </w:tcPr>
          <w:p w14:paraId="3D6008EF">
            <w:pPr>
              <w:pStyle w:val="179"/>
              <w:rPr>
                <w:rFonts w:hint="default"/>
              </w:rPr>
            </w:pPr>
            <w:r>
              <w:t>镉Cd</w:t>
            </w:r>
          </w:p>
        </w:tc>
        <w:tc>
          <w:tcPr>
            <w:tcW w:w="792" w:type="pct"/>
            <w:shd w:val="clear" w:color="auto" w:fill="auto"/>
            <w:vAlign w:val="center"/>
          </w:tcPr>
          <w:p w14:paraId="38CAD13A">
            <w:pPr>
              <w:pStyle w:val="179"/>
              <w:rPr>
                <w:rFonts w:hint="default"/>
                <w:color w:val="auto"/>
              </w:rPr>
            </w:pPr>
            <w:r>
              <w:rPr>
                <w:color w:val="auto"/>
              </w:rPr>
              <w:t>≤50</w:t>
            </w:r>
          </w:p>
        </w:tc>
        <w:tc>
          <w:tcPr>
            <w:tcW w:w="731" w:type="pct"/>
            <w:vMerge w:val="continue"/>
            <w:shd w:val="clear" w:color="auto" w:fill="auto"/>
            <w:vAlign w:val="center"/>
          </w:tcPr>
          <w:p w14:paraId="6F7A15F6">
            <w:pPr>
              <w:pStyle w:val="179"/>
              <w:rPr>
                <w:rFonts w:hint="default"/>
              </w:rPr>
            </w:pPr>
          </w:p>
        </w:tc>
      </w:tr>
      <w:tr w14:paraId="339B5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34724257">
            <w:pPr>
              <w:pStyle w:val="179"/>
              <w:rPr>
                <w:rFonts w:hint="default"/>
              </w:rPr>
            </w:pPr>
            <w:r>
              <w:t>25</w:t>
            </w:r>
          </w:p>
        </w:tc>
        <w:tc>
          <w:tcPr>
            <w:tcW w:w="474" w:type="pct"/>
            <w:vMerge w:val="continue"/>
            <w:shd w:val="clear" w:color="auto" w:fill="auto"/>
            <w:vAlign w:val="center"/>
          </w:tcPr>
          <w:p w14:paraId="2FF7AC1F">
            <w:pPr>
              <w:pStyle w:val="179"/>
              <w:rPr>
                <w:rFonts w:hint="default"/>
              </w:rPr>
            </w:pPr>
          </w:p>
        </w:tc>
        <w:tc>
          <w:tcPr>
            <w:tcW w:w="681" w:type="pct"/>
            <w:vMerge w:val="continue"/>
            <w:shd w:val="clear" w:color="auto" w:fill="auto"/>
            <w:vAlign w:val="center"/>
          </w:tcPr>
          <w:p w14:paraId="262A4608">
            <w:pPr>
              <w:pStyle w:val="179"/>
              <w:rPr>
                <w:rFonts w:hint="default"/>
              </w:rPr>
            </w:pPr>
          </w:p>
        </w:tc>
        <w:tc>
          <w:tcPr>
            <w:tcW w:w="1005" w:type="pct"/>
            <w:vMerge w:val="continue"/>
            <w:shd w:val="clear" w:color="auto" w:fill="auto"/>
            <w:vAlign w:val="center"/>
          </w:tcPr>
          <w:p w14:paraId="31C12C1F">
            <w:pPr>
              <w:pStyle w:val="179"/>
              <w:rPr>
                <w:rFonts w:hint="default"/>
              </w:rPr>
            </w:pPr>
          </w:p>
        </w:tc>
        <w:tc>
          <w:tcPr>
            <w:tcW w:w="1032" w:type="pct"/>
            <w:gridSpan w:val="2"/>
            <w:shd w:val="clear" w:color="auto" w:fill="auto"/>
            <w:vAlign w:val="center"/>
          </w:tcPr>
          <w:p w14:paraId="5DB583BC">
            <w:pPr>
              <w:pStyle w:val="179"/>
              <w:rPr>
                <w:rFonts w:hint="default"/>
              </w:rPr>
            </w:pPr>
            <w:r>
              <w:t>铬Cr</w:t>
            </w:r>
          </w:p>
        </w:tc>
        <w:tc>
          <w:tcPr>
            <w:tcW w:w="792" w:type="pct"/>
            <w:shd w:val="clear" w:color="auto" w:fill="auto"/>
            <w:vAlign w:val="center"/>
          </w:tcPr>
          <w:p w14:paraId="576CF118">
            <w:pPr>
              <w:pStyle w:val="179"/>
              <w:rPr>
                <w:rFonts w:hint="default"/>
                <w:color w:val="auto"/>
              </w:rPr>
            </w:pPr>
            <w:r>
              <w:rPr>
                <w:color w:val="auto"/>
              </w:rPr>
              <w:t>≤25</w:t>
            </w:r>
          </w:p>
        </w:tc>
        <w:tc>
          <w:tcPr>
            <w:tcW w:w="731" w:type="pct"/>
            <w:vMerge w:val="continue"/>
            <w:shd w:val="clear" w:color="auto" w:fill="auto"/>
            <w:vAlign w:val="center"/>
          </w:tcPr>
          <w:p w14:paraId="735257EE">
            <w:pPr>
              <w:pStyle w:val="179"/>
              <w:rPr>
                <w:rFonts w:hint="default"/>
              </w:rPr>
            </w:pPr>
          </w:p>
        </w:tc>
      </w:tr>
      <w:tr w14:paraId="1C0BB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2CE63F81">
            <w:pPr>
              <w:pStyle w:val="179"/>
              <w:rPr>
                <w:rFonts w:hint="default"/>
              </w:rPr>
            </w:pPr>
            <w:r>
              <w:t>26</w:t>
            </w:r>
          </w:p>
        </w:tc>
        <w:tc>
          <w:tcPr>
            <w:tcW w:w="474" w:type="pct"/>
            <w:vMerge w:val="continue"/>
            <w:shd w:val="clear" w:color="auto" w:fill="auto"/>
            <w:vAlign w:val="center"/>
          </w:tcPr>
          <w:p w14:paraId="55BC471F">
            <w:pPr>
              <w:pStyle w:val="179"/>
              <w:rPr>
                <w:rFonts w:hint="default"/>
              </w:rPr>
            </w:pPr>
          </w:p>
        </w:tc>
        <w:tc>
          <w:tcPr>
            <w:tcW w:w="681" w:type="pct"/>
            <w:vMerge w:val="continue"/>
            <w:shd w:val="clear" w:color="auto" w:fill="auto"/>
            <w:vAlign w:val="center"/>
          </w:tcPr>
          <w:p w14:paraId="58C67EC2">
            <w:pPr>
              <w:pStyle w:val="179"/>
              <w:rPr>
                <w:rFonts w:hint="default"/>
              </w:rPr>
            </w:pPr>
          </w:p>
        </w:tc>
        <w:tc>
          <w:tcPr>
            <w:tcW w:w="1005" w:type="pct"/>
            <w:vMerge w:val="continue"/>
            <w:shd w:val="clear" w:color="auto" w:fill="auto"/>
            <w:vAlign w:val="center"/>
          </w:tcPr>
          <w:p w14:paraId="41573158">
            <w:pPr>
              <w:pStyle w:val="179"/>
              <w:rPr>
                <w:rFonts w:hint="default"/>
              </w:rPr>
            </w:pPr>
          </w:p>
        </w:tc>
        <w:tc>
          <w:tcPr>
            <w:tcW w:w="1032" w:type="pct"/>
            <w:gridSpan w:val="2"/>
            <w:shd w:val="clear" w:color="auto" w:fill="auto"/>
            <w:vAlign w:val="center"/>
          </w:tcPr>
          <w:p w14:paraId="67014F34">
            <w:pPr>
              <w:pStyle w:val="179"/>
              <w:rPr>
                <w:rFonts w:hint="default"/>
              </w:rPr>
            </w:pPr>
            <w:r>
              <w:t>汞Hg</w:t>
            </w:r>
          </w:p>
        </w:tc>
        <w:tc>
          <w:tcPr>
            <w:tcW w:w="792" w:type="pct"/>
            <w:shd w:val="clear" w:color="auto" w:fill="auto"/>
            <w:vAlign w:val="center"/>
          </w:tcPr>
          <w:p w14:paraId="512F85B9">
            <w:pPr>
              <w:pStyle w:val="179"/>
              <w:rPr>
                <w:rFonts w:hint="default"/>
                <w:color w:val="auto"/>
              </w:rPr>
            </w:pPr>
            <w:r>
              <w:rPr>
                <w:color w:val="auto"/>
              </w:rPr>
              <w:t>≤25</w:t>
            </w:r>
          </w:p>
        </w:tc>
        <w:tc>
          <w:tcPr>
            <w:tcW w:w="731" w:type="pct"/>
            <w:vMerge w:val="continue"/>
            <w:shd w:val="clear" w:color="auto" w:fill="auto"/>
            <w:vAlign w:val="center"/>
          </w:tcPr>
          <w:p w14:paraId="74255F56">
            <w:pPr>
              <w:pStyle w:val="179"/>
              <w:rPr>
                <w:rFonts w:hint="default"/>
              </w:rPr>
            </w:pPr>
          </w:p>
        </w:tc>
      </w:tr>
      <w:tr w14:paraId="2021C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B7B9470">
            <w:pPr>
              <w:pStyle w:val="179"/>
              <w:rPr>
                <w:rFonts w:hint="default"/>
              </w:rPr>
            </w:pPr>
            <w:r>
              <w:t>27</w:t>
            </w:r>
          </w:p>
        </w:tc>
        <w:tc>
          <w:tcPr>
            <w:tcW w:w="474" w:type="pct"/>
            <w:vMerge w:val="continue"/>
            <w:shd w:val="clear" w:color="auto" w:fill="auto"/>
            <w:vAlign w:val="center"/>
          </w:tcPr>
          <w:p w14:paraId="44CC8E06">
            <w:pPr>
              <w:pStyle w:val="179"/>
              <w:rPr>
                <w:rFonts w:hint="default"/>
              </w:rPr>
            </w:pPr>
          </w:p>
        </w:tc>
        <w:tc>
          <w:tcPr>
            <w:tcW w:w="681" w:type="pct"/>
            <w:vMerge w:val="continue"/>
            <w:shd w:val="clear" w:color="auto" w:fill="auto"/>
            <w:vAlign w:val="center"/>
          </w:tcPr>
          <w:p w14:paraId="2CDC6319">
            <w:pPr>
              <w:pStyle w:val="179"/>
              <w:rPr>
                <w:rFonts w:hint="default"/>
              </w:rPr>
            </w:pPr>
          </w:p>
        </w:tc>
        <w:tc>
          <w:tcPr>
            <w:tcW w:w="1005" w:type="pct"/>
            <w:vMerge w:val="continue"/>
            <w:shd w:val="clear" w:color="auto" w:fill="auto"/>
            <w:vAlign w:val="center"/>
          </w:tcPr>
          <w:p w14:paraId="54C4F91D">
            <w:pPr>
              <w:pStyle w:val="179"/>
              <w:rPr>
                <w:rFonts w:hint="default"/>
              </w:rPr>
            </w:pPr>
          </w:p>
        </w:tc>
        <w:tc>
          <w:tcPr>
            <w:tcW w:w="1032" w:type="pct"/>
            <w:gridSpan w:val="2"/>
            <w:shd w:val="clear" w:color="auto" w:fill="auto"/>
            <w:vAlign w:val="center"/>
          </w:tcPr>
          <w:p w14:paraId="1170BE23">
            <w:pPr>
              <w:pStyle w:val="179"/>
              <w:rPr>
                <w:rFonts w:hint="default"/>
              </w:rPr>
            </w:pPr>
            <w:r>
              <w:t>锑Sb</w:t>
            </w:r>
          </w:p>
        </w:tc>
        <w:tc>
          <w:tcPr>
            <w:tcW w:w="792" w:type="pct"/>
            <w:shd w:val="clear" w:color="auto" w:fill="auto"/>
            <w:vAlign w:val="center"/>
          </w:tcPr>
          <w:p w14:paraId="65D172D8">
            <w:pPr>
              <w:pStyle w:val="179"/>
              <w:rPr>
                <w:rFonts w:hint="default"/>
                <w:color w:val="auto"/>
              </w:rPr>
            </w:pPr>
            <w:r>
              <w:rPr>
                <w:color w:val="auto"/>
              </w:rPr>
              <w:t>≤60</w:t>
            </w:r>
          </w:p>
        </w:tc>
        <w:tc>
          <w:tcPr>
            <w:tcW w:w="731" w:type="pct"/>
            <w:vMerge w:val="continue"/>
            <w:shd w:val="clear" w:color="auto" w:fill="auto"/>
            <w:vAlign w:val="center"/>
          </w:tcPr>
          <w:p w14:paraId="499FFC9C">
            <w:pPr>
              <w:pStyle w:val="179"/>
              <w:rPr>
                <w:rFonts w:hint="default"/>
              </w:rPr>
            </w:pPr>
          </w:p>
        </w:tc>
      </w:tr>
      <w:tr w14:paraId="18B7A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BC705E0">
            <w:pPr>
              <w:pStyle w:val="179"/>
              <w:rPr>
                <w:rFonts w:hint="default"/>
              </w:rPr>
            </w:pPr>
            <w:r>
              <w:t>28</w:t>
            </w:r>
          </w:p>
        </w:tc>
        <w:tc>
          <w:tcPr>
            <w:tcW w:w="474" w:type="pct"/>
            <w:vMerge w:val="continue"/>
            <w:shd w:val="clear" w:color="auto" w:fill="auto"/>
            <w:vAlign w:val="center"/>
          </w:tcPr>
          <w:p w14:paraId="24E3BBF4">
            <w:pPr>
              <w:pStyle w:val="179"/>
              <w:rPr>
                <w:rFonts w:hint="default"/>
              </w:rPr>
            </w:pPr>
          </w:p>
        </w:tc>
        <w:tc>
          <w:tcPr>
            <w:tcW w:w="681" w:type="pct"/>
            <w:vMerge w:val="continue"/>
            <w:shd w:val="clear" w:color="auto" w:fill="auto"/>
            <w:vAlign w:val="center"/>
          </w:tcPr>
          <w:p w14:paraId="781132FA">
            <w:pPr>
              <w:pStyle w:val="179"/>
              <w:rPr>
                <w:rFonts w:hint="default"/>
              </w:rPr>
            </w:pPr>
          </w:p>
        </w:tc>
        <w:tc>
          <w:tcPr>
            <w:tcW w:w="1005" w:type="pct"/>
            <w:vMerge w:val="continue"/>
            <w:shd w:val="clear" w:color="auto" w:fill="auto"/>
            <w:vAlign w:val="center"/>
          </w:tcPr>
          <w:p w14:paraId="456FCA7E">
            <w:pPr>
              <w:pStyle w:val="179"/>
              <w:rPr>
                <w:rFonts w:hint="default"/>
              </w:rPr>
            </w:pPr>
          </w:p>
        </w:tc>
        <w:tc>
          <w:tcPr>
            <w:tcW w:w="1032" w:type="pct"/>
            <w:gridSpan w:val="2"/>
            <w:shd w:val="clear" w:color="auto" w:fill="auto"/>
            <w:vAlign w:val="center"/>
          </w:tcPr>
          <w:p w14:paraId="207AE8D4">
            <w:pPr>
              <w:pStyle w:val="179"/>
              <w:rPr>
                <w:rFonts w:hint="default"/>
              </w:rPr>
            </w:pPr>
            <w:r>
              <w:t>钡Ba</w:t>
            </w:r>
          </w:p>
        </w:tc>
        <w:tc>
          <w:tcPr>
            <w:tcW w:w="792" w:type="pct"/>
            <w:shd w:val="clear" w:color="auto" w:fill="auto"/>
            <w:vAlign w:val="center"/>
          </w:tcPr>
          <w:p w14:paraId="78C4826F">
            <w:pPr>
              <w:pStyle w:val="179"/>
              <w:rPr>
                <w:rFonts w:hint="default"/>
                <w:color w:val="auto"/>
              </w:rPr>
            </w:pPr>
            <w:r>
              <w:rPr>
                <w:color w:val="auto"/>
              </w:rPr>
              <w:t>≤1000</w:t>
            </w:r>
          </w:p>
        </w:tc>
        <w:tc>
          <w:tcPr>
            <w:tcW w:w="731" w:type="pct"/>
            <w:vMerge w:val="continue"/>
            <w:shd w:val="clear" w:color="auto" w:fill="auto"/>
            <w:vAlign w:val="center"/>
          </w:tcPr>
          <w:p w14:paraId="45B07820">
            <w:pPr>
              <w:pStyle w:val="179"/>
              <w:rPr>
                <w:rFonts w:hint="default"/>
              </w:rPr>
            </w:pPr>
          </w:p>
        </w:tc>
      </w:tr>
      <w:tr w14:paraId="6BB92E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CBCEE5E">
            <w:pPr>
              <w:pStyle w:val="179"/>
              <w:rPr>
                <w:rFonts w:hint="default"/>
              </w:rPr>
            </w:pPr>
            <w:r>
              <w:t>29</w:t>
            </w:r>
          </w:p>
        </w:tc>
        <w:tc>
          <w:tcPr>
            <w:tcW w:w="474" w:type="pct"/>
            <w:vMerge w:val="continue"/>
            <w:shd w:val="clear" w:color="auto" w:fill="auto"/>
            <w:vAlign w:val="center"/>
          </w:tcPr>
          <w:p w14:paraId="14AEA573">
            <w:pPr>
              <w:pStyle w:val="179"/>
              <w:rPr>
                <w:rFonts w:hint="default"/>
              </w:rPr>
            </w:pPr>
          </w:p>
        </w:tc>
        <w:tc>
          <w:tcPr>
            <w:tcW w:w="681" w:type="pct"/>
            <w:vMerge w:val="continue"/>
            <w:shd w:val="clear" w:color="auto" w:fill="auto"/>
            <w:vAlign w:val="center"/>
          </w:tcPr>
          <w:p w14:paraId="27FA3D5B">
            <w:pPr>
              <w:pStyle w:val="179"/>
              <w:rPr>
                <w:rFonts w:hint="default"/>
              </w:rPr>
            </w:pPr>
          </w:p>
        </w:tc>
        <w:tc>
          <w:tcPr>
            <w:tcW w:w="1005" w:type="pct"/>
            <w:vMerge w:val="continue"/>
            <w:shd w:val="clear" w:color="auto" w:fill="auto"/>
            <w:vAlign w:val="center"/>
          </w:tcPr>
          <w:p w14:paraId="479EB718">
            <w:pPr>
              <w:pStyle w:val="179"/>
              <w:rPr>
                <w:rFonts w:hint="default"/>
              </w:rPr>
            </w:pPr>
          </w:p>
        </w:tc>
        <w:tc>
          <w:tcPr>
            <w:tcW w:w="1032" w:type="pct"/>
            <w:gridSpan w:val="2"/>
            <w:shd w:val="clear" w:color="auto" w:fill="auto"/>
            <w:vAlign w:val="center"/>
          </w:tcPr>
          <w:p w14:paraId="238E6703">
            <w:pPr>
              <w:pStyle w:val="179"/>
              <w:rPr>
                <w:rFonts w:hint="default"/>
              </w:rPr>
            </w:pPr>
            <w:r>
              <w:t>硒Se</w:t>
            </w:r>
          </w:p>
        </w:tc>
        <w:tc>
          <w:tcPr>
            <w:tcW w:w="792" w:type="pct"/>
            <w:shd w:val="clear" w:color="auto" w:fill="auto"/>
            <w:vAlign w:val="center"/>
          </w:tcPr>
          <w:p w14:paraId="763E44E3">
            <w:pPr>
              <w:pStyle w:val="179"/>
              <w:rPr>
                <w:rFonts w:hint="default"/>
                <w:color w:val="auto"/>
              </w:rPr>
            </w:pPr>
            <w:r>
              <w:rPr>
                <w:color w:val="auto"/>
              </w:rPr>
              <w:t>≤500</w:t>
            </w:r>
          </w:p>
        </w:tc>
        <w:tc>
          <w:tcPr>
            <w:tcW w:w="731" w:type="pct"/>
            <w:vMerge w:val="continue"/>
            <w:shd w:val="clear" w:color="auto" w:fill="auto"/>
            <w:vAlign w:val="center"/>
          </w:tcPr>
          <w:p w14:paraId="1E2DD19A">
            <w:pPr>
              <w:pStyle w:val="179"/>
              <w:rPr>
                <w:rFonts w:hint="default"/>
              </w:rPr>
            </w:pPr>
          </w:p>
        </w:tc>
      </w:tr>
      <w:tr w14:paraId="09D24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80" w:type="pct"/>
            <w:shd w:val="clear" w:color="auto" w:fill="auto"/>
            <w:vAlign w:val="center"/>
          </w:tcPr>
          <w:p w14:paraId="03A792F7">
            <w:pPr>
              <w:pStyle w:val="179"/>
              <w:rPr>
                <w:rFonts w:hint="default"/>
              </w:rPr>
            </w:pPr>
            <w:r>
              <w:t>30</w:t>
            </w:r>
          </w:p>
        </w:tc>
        <w:tc>
          <w:tcPr>
            <w:tcW w:w="474" w:type="pct"/>
            <w:vMerge w:val="continue"/>
            <w:shd w:val="clear" w:color="auto" w:fill="auto"/>
            <w:vAlign w:val="center"/>
          </w:tcPr>
          <w:p w14:paraId="2E7514B7">
            <w:pPr>
              <w:pStyle w:val="179"/>
              <w:rPr>
                <w:rFonts w:hint="default"/>
              </w:rPr>
            </w:pPr>
          </w:p>
        </w:tc>
        <w:tc>
          <w:tcPr>
            <w:tcW w:w="681" w:type="pct"/>
            <w:vMerge w:val="continue"/>
            <w:shd w:val="clear" w:color="auto" w:fill="auto"/>
            <w:vAlign w:val="center"/>
          </w:tcPr>
          <w:p w14:paraId="4CF0B425">
            <w:pPr>
              <w:pStyle w:val="179"/>
              <w:rPr>
                <w:rFonts w:hint="default"/>
              </w:rPr>
            </w:pPr>
          </w:p>
        </w:tc>
        <w:tc>
          <w:tcPr>
            <w:tcW w:w="1005" w:type="pct"/>
            <w:vMerge w:val="continue"/>
            <w:shd w:val="clear" w:color="auto" w:fill="auto"/>
            <w:vAlign w:val="center"/>
          </w:tcPr>
          <w:p w14:paraId="5087D810">
            <w:pPr>
              <w:pStyle w:val="179"/>
              <w:rPr>
                <w:rFonts w:hint="default"/>
              </w:rPr>
            </w:pPr>
          </w:p>
        </w:tc>
        <w:tc>
          <w:tcPr>
            <w:tcW w:w="1032" w:type="pct"/>
            <w:gridSpan w:val="2"/>
            <w:shd w:val="clear" w:color="auto" w:fill="auto"/>
            <w:vAlign w:val="center"/>
          </w:tcPr>
          <w:p w14:paraId="43C195DC">
            <w:pPr>
              <w:pStyle w:val="179"/>
              <w:rPr>
                <w:rFonts w:hint="default"/>
              </w:rPr>
            </w:pPr>
            <w:r>
              <w:t>砷As</w:t>
            </w:r>
          </w:p>
        </w:tc>
        <w:tc>
          <w:tcPr>
            <w:tcW w:w="792" w:type="pct"/>
            <w:shd w:val="clear" w:color="auto" w:fill="auto"/>
            <w:vAlign w:val="center"/>
          </w:tcPr>
          <w:p w14:paraId="79D2778B">
            <w:pPr>
              <w:pStyle w:val="179"/>
              <w:rPr>
                <w:rFonts w:hint="default"/>
                <w:color w:val="auto"/>
              </w:rPr>
            </w:pPr>
            <w:r>
              <w:rPr>
                <w:color w:val="auto"/>
              </w:rPr>
              <w:t>≤25</w:t>
            </w:r>
          </w:p>
        </w:tc>
        <w:tc>
          <w:tcPr>
            <w:tcW w:w="731" w:type="pct"/>
            <w:vMerge w:val="continue"/>
            <w:shd w:val="clear" w:color="auto" w:fill="auto"/>
            <w:vAlign w:val="center"/>
          </w:tcPr>
          <w:p w14:paraId="66EAE58A">
            <w:pPr>
              <w:pStyle w:val="179"/>
              <w:rPr>
                <w:rFonts w:hint="default"/>
              </w:rPr>
            </w:pPr>
          </w:p>
        </w:tc>
      </w:tr>
      <w:tr w14:paraId="715E6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1DF7ADE0">
            <w:pPr>
              <w:pStyle w:val="179"/>
              <w:rPr>
                <w:rFonts w:hint="default"/>
              </w:rPr>
            </w:pPr>
            <w:r>
              <w:t>31</w:t>
            </w:r>
          </w:p>
        </w:tc>
        <w:tc>
          <w:tcPr>
            <w:tcW w:w="474" w:type="pct"/>
            <w:vMerge w:val="continue"/>
            <w:shd w:val="clear" w:color="auto" w:fill="auto"/>
            <w:vAlign w:val="center"/>
          </w:tcPr>
          <w:p w14:paraId="59EAD767">
            <w:pPr>
              <w:pStyle w:val="179"/>
              <w:rPr>
                <w:rFonts w:hint="default"/>
              </w:rPr>
            </w:pPr>
          </w:p>
        </w:tc>
        <w:tc>
          <w:tcPr>
            <w:tcW w:w="681" w:type="pct"/>
            <w:vMerge w:val="continue"/>
            <w:shd w:val="clear" w:color="auto" w:fill="auto"/>
            <w:vAlign w:val="center"/>
          </w:tcPr>
          <w:p w14:paraId="460BE191">
            <w:pPr>
              <w:pStyle w:val="179"/>
              <w:rPr>
                <w:rFonts w:hint="default"/>
              </w:rPr>
            </w:pPr>
          </w:p>
        </w:tc>
        <w:tc>
          <w:tcPr>
            <w:tcW w:w="1005" w:type="pct"/>
            <w:shd w:val="clear" w:color="auto" w:fill="auto"/>
            <w:vAlign w:val="center"/>
          </w:tcPr>
          <w:p w14:paraId="6F5D2054">
            <w:pPr>
              <w:pStyle w:val="179"/>
              <w:rPr>
                <w:rFonts w:hint="default"/>
              </w:rPr>
            </w:pPr>
            <w:r>
              <w:t>五氯苯酚（mg/kg）</w:t>
            </w:r>
          </w:p>
        </w:tc>
        <w:tc>
          <w:tcPr>
            <w:tcW w:w="1032" w:type="pct"/>
            <w:gridSpan w:val="2"/>
            <w:shd w:val="clear" w:color="auto" w:fill="auto"/>
            <w:vAlign w:val="center"/>
          </w:tcPr>
          <w:p w14:paraId="1F206830">
            <w:pPr>
              <w:pStyle w:val="179"/>
              <w:rPr>
                <w:rFonts w:hint="default"/>
              </w:rPr>
            </w:pPr>
            <w:r>
              <w:t>实木部件</w:t>
            </w:r>
          </w:p>
        </w:tc>
        <w:tc>
          <w:tcPr>
            <w:tcW w:w="792" w:type="pct"/>
            <w:shd w:val="clear" w:color="auto" w:fill="auto"/>
            <w:vAlign w:val="center"/>
          </w:tcPr>
          <w:p w14:paraId="42EA33E8">
            <w:pPr>
              <w:pStyle w:val="179"/>
              <w:rPr>
                <w:rFonts w:hint="default"/>
                <w:color w:val="auto"/>
              </w:rPr>
            </w:pPr>
            <w:r>
              <w:rPr>
                <w:color w:val="auto"/>
              </w:rPr>
              <w:t>≤5</w:t>
            </w:r>
          </w:p>
        </w:tc>
        <w:tc>
          <w:tcPr>
            <w:tcW w:w="731" w:type="pct"/>
            <w:vMerge w:val="continue"/>
            <w:shd w:val="clear" w:color="auto" w:fill="auto"/>
            <w:vAlign w:val="center"/>
          </w:tcPr>
          <w:p w14:paraId="4E37EF03">
            <w:pPr>
              <w:pStyle w:val="179"/>
              <w:rPr>
                <w:rFonts w:hint="default"/>
              </w:rPr>
            </w:pPr>
          </w:p>
        </w:tc>
      </w:tr>
      <w:tr w14:paraId="559D8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63444BBE">
            <w:pPr>
              <w:pStyle w:val="179"/>
              <w:rPr>
                <w:rFonts w:hint="default"/>
              </w:rPr>
            </w:pPr>
            <w:r>
              <w:t>32</w:t>
            </w:r>
          </w:p>
        </w:tc>
        <w:tc>
          <w:tcPr>
            <w:tcW w:w="474" w:type="pct"/>
            <w:vMerge w:val="continue"/>
            <w:shd w:val="clear" w:color="auto" w:fill="auto"/>
            <w:vAlign w:val="center"/>
          </w:tcPr>
          <w:p w14:paraId="0F8B6B24">
            <w:pPr>
              <w:pStyle w:val="179"/>
              <w:rPr>
                <w:rFonts w:hint="default"/>
              </w:rPr>
            </w:pPr>
          </w:p>
        </w:tc>
        <w:tc>
          <w:tcPr>
            <w:tcW w:w="681" w:type="pct"/>
            <w:vMerge w:val="continue"/>
            <w:shd w:val="clear" w:color="auto" w:fill="auto"/>
            <w:vAlign w:val="center"/>
          </w:tcPr>
          <w:p w14:paraId="7D7CE3A9">
            <w:pPr>
              <w:pStyle w:val="179"/>
              <w:rPr>
                <w:rFonts w:hint="default"/>
              </w:rPr>
            </w:pPr>
          </w:p>
        </w:tc>
        <w:tc>
          <w:tcPr>
            <w:tcW w:w="1017" w:type="pct"/>
            <w:gridSpan w:val="2"/>
            <w:shd w:val="clear" w:color="auto" w:fill="auto"/>
            <w:vAlign w:val="center"/>
          </w:tcPr>
          <w:p w14:paraId="70F484DC">
            <w:pPr>
              <w:pStyle w:val="179"/>
              <w:rPr>
                <w:rFonts w:hint="default"/>
              </w:rPr>
            </w:pPr>
            <w:r>
              <w:t>苯并[a]芘（mg/kg）</w:t>
            </w:r>
          </w:p>
        </w:tc>
        <w:tc>
          <w:tcPr>
            <w:tcW w:w="1021" w:type="pct"/>
            <w:vMerge w:val="restart"/>
            <w:shd w:val="clear" w:color="auto" w:fill="auto"/>
            <w:vAlign w:val="center"/>
          </w:tcPr>
          <w:p w14:paraId="2D368C57">
            <w:pPr>
              <w:pStyle w:val="179"/>
              <w:rPr>
                <w:rFonts w:hint="default" w:eastAsia="宋体"/>
                <w:lang w:val="en-US" w:eastAsia="zh-CN"/>
              </w:rPr>
            </w:pPr>
            <w:r>
              <w:rPr>
                <w:rFonts w:hint="eastAsia"/>
                <w:lang w:val="en-US" w:eastAsia="zh-CN"/>
              </w:rPr>
              <w:t>塑料部件</w:t>
            </w:r>
          </w:p>
        </w:tc>
        <w:tc>
          <w:tcPr>
            <w:tcW w:w="792" w:type="pct"/>
            <w:shd w:val="clear" w:color="auto" w:fill="auto"/>
            <w:vAlign w:val="center"/>
          </w:tcPr>
          <w:p w14:paraId="07D1D47E">
            <w:pPr>
              <w:pStyle w:val="179"/>
              <w:rPr>
                <w:rFonts w:hint="default"/>
                <w:color w:val="auto"/>
              </w:rPr>
            </w:pPr>
            <w:r>
              <w:rPr>
                <w:color w:val="auto"/>
              </w:rPr>
              <w:t>≤0.5</w:t>
            </w:r>
          </w:p>
        </w:tc>
        <w:tc>
          <w:tcPr>
            <w:tcW w:w="731" w:type="pct"/>
            <w:vMerge w:val="continue"/>
            <w:shd w:val="clear" w:color="auto" w:fill="auto"/>
            <w:vAlign w:val="center"/>
          </w:tcPr>
          <w:p w14:paraId="50D663FF">
            <w:pPr>
              <w:pStyle w:val="179"/>
              <w:rPr>
                <w:rFonts w:hint="default"/>
              </w:rPr>
            </w:pPr>
          </w:p>
        </w:tc>
      </w:tr>
      <w:tr w14:paraId="7A9230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7EF36C0A">
            <w:pPr>
              <w:pStyle w:val="179"/>
              <w:rPr>
                <w:rFonts w:hint="default" w:eastAsia="宋体"/>
                <w:lang w:val="en-US" w:eastAsia="zh-CN"/>
              </w:rPr>
            </w:pPr>
            <w:r>
              <w:rPr>
                <w:rFonts w:hint="eastAsia"/>
                <w:lang w:val="en-US" w:eastAsia="zh-CN"/>
              </w:rPr>
              <w:t>33</w:t>
            </w:r>
          </w:p>
        </w:tc>
        <w:tc>
          <w:tcPr>
            <w:tcW w:w="474" w:type="pct"/>
            <w:vMerge w:val="continue"/>
            <w:shd w:val="clear" w:color="auto" w:fill="auto"/>
            <w:vAlign w:val="center"/>
          </w:tcPr>
          <w:p w14:paraId="4FFAC14C">
            <w:pPr>
              <w:pStyle w:val="179"/>
              <w:rPr>
                <w:rFonts w:hint="default"/>
              </w:rPr>
            </w:pPr>
          </w:p>
        </w:tc>
        <w:tc>
          <w:tcPr>
            <w:tcW w:w="681" w:type="pct"/>
            <w:vMerge w:val="continue"/>
            <w:shd w:val="clear" w:color="auto" w:fill="auto"/>
            <w:vAlign w:val="center"/>
          </w:tcPr>
          <w:p w14:paraId="3C3AE017">
            <w:pPr>
              <w:pStyle w:val="179"/>
              <w:rPr>
                <w:rFonts w:hint="default"/>
              </w:rPr>
            </w:pPr>
          </w:p>
        </w:tc>
        <w:tc>
          <w:tcPr>
            <w:tcW w:w="1017" w:type="pct"/>
            <w:gridSpan w:val="2"/>
            <w:shd w:val="clear" w:color="auto" w:fill="auto"/>
            <w:vAlign w:val="center"/>
          </w:tcPr>
          <w:p w14:paraId="72FBFAD6">
            <w:pPr>
              <w:pStyle w:val="179"/>
              <w:rPr>
                <w:rFonts w:hint="eastAsia" w:eastAsia="宋体"/>
                <w:lang w:eastAsia="zh-CN"/>
              </w:rPr>
            </w:pPr>
            <w:r>
              <w:rPr>
                <w:highlight w:val="none"/>
              </w:rPr>
              <w:t>多环芳烃</w:t>
            </w:r>
            <w:r>
              <w:rPr>
                <w:rFonts w:hint="eastAsia"/>
                <w:highlight w:val="none"/>
                <w:lang w:eastAsia="zh-CN"/>
              </w:rPr>
              <w:t>（</w:t>
            </w:r>
            <w:r>
              <w:rPr>
                <w:rFonts w:hint="eastAsia"/>
                <w:highlight w:val="none"/>
                <w:lang w:val="en-US" w:eastAsia="zh-CN"/>
              </w:rPr>
              <w:t>16种</w:t>
            </w:r>
            <w:r>
              <w:rPr>
                <w:highlight w:val="none"/>
              </w:rPr>
              <w:t>多环芳烃</w:t>
            </w:r>
            <w:r>
              <w:rPr>
                <w:rFonts w:hint="eastAsia"/>
                <w:highlight w:val="none"/>
                <w:lang w:eastAsia="zh-CN"/>
              </w:rPr>
              <w:t>【</w:t>
            </w:r>
            <w:r>
              <w:rPr>
                <w:rFonts w:hint="eastAsia"/>
                <w:highlight w:val="none"/>
                <w:lang w:val="en-US" w:eastAsia="zh-CN"/>
              </w:rPr>
              <w:t>PAH</w:t>
            </w:r>
            <w:r>
              <w:rPr>
                <w:rFonts w:hint="eastAsia"/>
                <w:highlight w:val="none"/>
                <w:lang w:eastAsia="zh-CN"/>
              </w:rPr>
              <w:t>】</w:t>
            </w:r>
            <w:r>
              <w:rPr>
                <w:rFonts w:hint="eastAsia"/>
                <w:highlight w:val="none"/>
                <w:lang w:val="en-US" w:eastAsia="zh-CN"/>
              </w:rPr>
              <w:t>总量</w:t>
            </w:r>
            <w:r>
              <w:rPr>
                <w:rFonts w:hint="eastAsia"/>
                <w:highlight w:val="none"/>
                <w:lang w:eastAsia="zh-CN"/>
              </w:rPr>
              <w:t>）</w:t>
            </w:r>
            <w:r>
              <w:t>（mg/kg）</w:t>
            </w:r>
          </w:p>
        </w:tc>
        <w:tc>
          <w:tcPr>
            <w:tcW w:w="1021" w:type="pct"/>
            <w:vMerge w:val="continue"/>
            <w:shd w:val="clear" w:color="auto" w:fill="auto"/>
            <w:vAlign w:val="center"/>
          </w:tcPr>
          <w:p w14:paraId="181A6FD5">
            <w:pPr>
              <w:pStyle w:val="179"/>
              <w:rPr>
                <w:rFonts w:hint="eastAsia"/>
                <w:lang w:val="en-US" w:eastAsia="zh-CN"/>
              </w:rPr>
            </w:pPr>
          </w:p>
        </w:tc>
        <w:tc>
          <w:tcPr>
            <w:tcW w:w="792" w:type="pct"/>
            <w:shd w:val="clear" w:color="auto" w:fill="auto"/>
            <w:vAlign w:val="center"/>
          </w:tcPr>
          <w:p w14:paraId="152573C5">
            <w:pPr>
              <w:pStyle w:val="179"/>
              <w:rPr>
                <w:rFonts w:hint="default" w:eastAsia="宋体"/>
                <w:color w:val="auto"/>
                <w:lang w:val="en-US" w:eastAsia="zh-CN"/>
              </w:rPr>
            </w:pPr>
            <w:r>
              <w:rPr>
                <w:color w:val="auto"/>
              </w:rPr>
              <w:t>≤</w:t>
            </w:r>
            <w:r>
              <w:rPr>
                <w:rFonts w:hint="eastAsia"/>
                <w:color w:val="auto"/>
                <w:lang w:val="en-US" w:eastAsia="zh-CN"/>
              </w:rPr>
              <w:t>10</w:t>
            </w:r>
          </w:p>
        </w:tc>
        <w:tc>
          <w:tcPr>
            <w:tcW w:w="731" w:type="pct"/>
            <w:vMerge w:val="restart"/>
            <w:shd w:val="clear" w:color="auto" w:fill="auto"/>
            <w:vAlign w:val="center"/>
          </w:tcPr>
          <w:p w14:paraId="41425E50">
            <w:pPr>
              <w:pStyle w:val="179"/>
              <w:rPr>
                <w:rFonts w:hint="default"/>
              </w:rPr>
            </w:pPr>
            <w:r>
              <w:rPr>
                <w:highlight w:val="none"/>
              </w:rPr>
              <w:t>GB</w:t>
            </w:r>
            <w:r>
              <w:rPr>
                <w:rFonts w:hint="default"/>
                <w:highlight w:val="none"/>
              </w:rPr>
              <w:t xml:space="preserve"> 28481</w:t>
            </w:r>
          </w:p>
        </w:tc>
      </w:tr>
      <w:tr w14:paraId="39C9A5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1ED4A04">
            <w:pPr>
              <w:pStyle w:val="179"/>
              <w:rPr>
                <w:rFonts w:hint="default" w:eastAsia="宋体"/>
                <w:lang w:val="en-US" w:eastAsia="zh-CN"/>
              </w:rPr>
            </w:pPr>
            <w:r>
              <w:rPr>
                <w:rFonts w:hint="eastAsia"/>
                <w:lang w:val="en-US" w:eastAsia="zh-CN"/>
              </w:rPr>
              <w:t>34</w:t>
            </w:r>
          </w:p>
        </w:tc>
        <w:tc>
          <w:tcPr>
            <w:tcW w:w="474" w:type="pct"/>
            <w:vMerge w:val="continue"/>
            <w:shd w:val="clear" w:color="auto" w:fill="auto"/>
            <w:vAlign w:val="center"/>
          </w:tcPr>
          <w:p w14:paraId="587AA5B4">
            <w:pPr>
              <w:pStyle w:val="179"/>
              <w:rPr>
                <w:rFonts w:hint="default"/>
              </w:rPr>
            </w:pPr>
          </w:p>
        </w:tc>
        <w:tc>
          <w:tcPr>
            <w:tcW w:w="681" w:type="pct"/>
            <w:vMerge w:val="continue"/>
            <w:shd w:val="clear" w:color="auto" w:fill="auto"/>
            <w:vAlign w:val="center"/>
          </w:tcPr>
          <w:p w14:paraId="10FA5282">
            <w:pPr>
              <w:pStyle w:val="179"/>
              <w:rPr>
                <w:rFonts w:hint="default"/>
              </w:rPr>
            </w:pPr>
          </w:p>
        </w:tc>
        <w:tc>
          <w:tcPr>
            <w:tcW w:w="1017" w:type="pct"/>
            <w:gridSpan w:val="2"/>
            <w:shd w:val="clear" w:color="auto" w:fill="auto"/>
            <w:vAlign w:val="center"/>
          </w:tcPr>
          <w:p w14:paraId="103555CE">
            <w:pPr>
              <w:pStyle w:val="179"/>
            </w:pPr>
            <w:r>
              <w:rPr>
                <w:highlight w:val="none"/>
              </w:rPr>
              <w:t>多溴</w:t>
            </w:r>
            <w:r>
              <w:rPr>
                <w:rFonts w:hint="default"/>
                <w:highlight w:val="none"/>
              </w:rPr>
              <w:t>联苯</w:t>
            </w:r>
            <w:r>
              <w:rPr>
                <w:highlight w:val="none"/>
              </w:rPr>
              <w:t>、</w:t>
            </w:r>
            <w:r>
              <w:rPr>
                <w:rFonts w:hint="default"/>
                <w:highlight w:val="none"/>
              </w:rPr>
              <w:t>多溴</w:t>
            </w:r>
            <w:r>
              <w:rPr>
                <w:highlight w:val="none"/>
              </w:rPr>
              <w:t>二</w:t>
            </w:r>
            <w:r>
              <w:rPr>
                <w:rFonts w:hint="default"/>
                <w:highlight w:val="none"/>
              </w:rPr>
              <w:t>苯醚</w:t>
            </w:r>
            <w:r>
              <w:t>（mg/kg）</w:t>
            </w:r>
          </w:p>
        </w:tc>
        <w:tc>
          <w:tcPr>
            <w:tcW w:w="1021" w:type="pct"/>
            <w:vMerge w:val="continue"/>
            <w:shd w:val="clear" w:color="auto" w:fill="auto"/>
            <w:vAlign w:val="center"/>
          </w:tcPr>
          <w:p w14:paraId="384BB653">
            <w:pPr>
              <w:pStyle w:val="179"/>
              <w:rPr>
                <w:rFonts w:hint="eastAsia"/>
                <w:lang w:val="en-US" w:eastAsia="zh-CN"/>
              </w:rPr>
            </w:pPr>
          </w:p>
        </w:tc>
        <w:tc>
          <w:tcPr>
            <w:tcW w:w="792" w:type="pct"/>
            <w:shd w:val="clear" w:color="auto" w:fill="auto"/>
            <w:vAlign w:val="center"/>
          </w:tcPr>
          <w:p w14:paraId="07A3F248">
            <w:pPr>
              <w:pStyle w:val="179"/>
              <w:rPr>
                <w:rFonts w:hint="default"/>
                <w:color w:val="auto"/>
                <w:lang w:val="en-US"/>
              </w:rPr>
            </w:pPr>
            <w:r>
              <w:rPr>
                <w:color w:val="auto"/>
              </w:rPr>
              <w:t>≤</w:t>
            </w:r>
            <w:r>
              <w:rPr>
                <w:rFonts w:hint="eastAsia"/>
                <w:color w:val="auto"/>
                <w:lang w:val="en-US" w:eastAsia="zh-CN"/>
              </w:rPr>
              <w:t>1000</w:t>
            </w:r>
          </w:p>
        </w:tc>
        <w:tc>
          <w:tcPr>
            <w:tcW w:w="731" w:type="pct"/>
            <w:vMerge w:val="continue"/>
            <w:shd w:val="clear" w:color="auto" w:fill="auto"/>
            <w:vAlign w:val="center"/>
          </w:tcPr>
          <w:p w14:paraId="03F536B3">
            <w:pPr>
              <w:pStyle w:val="179"/>
              <w:rPr>
                <w:rFonts w:hint="default"/>
              </w:rPr>
            </w:pPr>
          </w:p>
        </w:tc>
      </w:tr>
      <w:tr w14:paraId="2F8919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2224F5E0">
            <w:pPr>
              <w:pStyle w:val="179"/>
              <w:rPr>
                <w:rFonts w:hint="default" w:eastAsia="宋体"/>
                <w:lang w:val="en-US" w:eastAsia="zh-CN"/>
              </w:rPr>
            </w:pPr>
            <w:r>
              <w:rPr>
                <w:rFonts w:hint="eastAsia"/>
                <w:lang w:val="en-US" w:eastAsia="zh-CN"/>
              </w:rPr>
              <w:t>35</w:t>
            </w:r>
          </w:p>
        </w:tc>
        <w:tc>
          <w:tcPr>
            <w:tcW w:w="474" w:type="pct"/>
            <w:vMerge w:val="continue"/>
            <w:shd w:val="clear" w:color="auto" w:fill="auto"/>
            <w:vAlign w:val="center"/>
          </w:tcPr>
          <w:p w14:paraId="256954AE">
            <w:pPr>
              <w:pStyle w:val="179"/>
              <w:rPr>
                <w:rFonts w:hint="default"/>
              </w:rPr>
            </w:pPr>
          </w:p>
        </w:tc>
        <w:tc>
          <w:tcPr>
            <w:tcW w:w="681" w:type="pct"/>
            <w:vMerge w:val="continue"/>
            <w:shd w:val="clear" w:color="auto" w:fill="auto"/>
            <w:vAlign w:val="center"/>
          </w:tcPr>
          <w:p w14:paraId="24D701DE">
            <w:pPr>
              <w:pStyle w:val="179"/>
              <w:rPr>
                <w:rFonts w:hint="default"/>
              </w:rPr>
            </w:pPr>
          </w:p>
        </w:tc>
        <w:tc>
          <w:tcPr>
            <w:tcW w:w="1017" w:type="pct"/>
            <w:gridSpan w:val="2"/>
            <w:vMerge w:val="restart"/>
            <w:shd w:val="clear" w:color="auto" w:fill="auto"/>
            <w:vAlign w:val="center"/>
          </w:tcPr>
          <w:p w14:paraId="531F40C9">
            <w:pPr>
              <w:pStyle w:val="179"/>
              <w:rPr>
                <w:highlight w:val="none"/>
              </w:rPr>
            </w:pPr>
            <w:r>
              <w:rPr>
                <w:highlight w:val="none"/>
              </w:rPr>
              <w:t>重金属</w:t>
            </w:r>
            <w:r>
              <w:t>（mg/kg）</w:t>
            </w:r>
          </w:p>
        </w:tc>
        <w:tc>
          <w:tcPr>
            <w:tcW w:w="1021" w:type="pct"/>
            <w:vMerge w:val="continue"/>
            <w:shd w:val="clear" w:color="auto" w:fill="auto"/>
            <w:vAlign w:val="center"/>
          </w:tcPr>
          <w:p w14:paraId="007CF8D1">
            <w:pPr>
              <w:pStyle w:val="179"/>
              <w:rPr>
                <w:rFonts w:hint="eastAsia"/>
                <w:lang w:val="en-US" w:eastAsia="zh-CN"/>
              </w:rPr>
            </w:pPr>
          </w:p>
        </w:tc>
        <w:tc>
          <w:tcPr>
            <w:tcW w:w="792" w:type="pct"/>
            <w:shd w:val="clear" w:color="auto" w:fill="auto"/>
            <w:vAlign w:val="center"/>
          </w:tcPr>
          <w:p w14:paraId="5D7AB42E">
            <w:pPr>
              <w:pStyle w:val="179"/>
              <w:rPr>
                <w:rFonts w:hint="default" w:eastAsia="宋体"/>
                <w:color w:val="auto"/>
                <w:lang w:val="en-US" w:eastAsia="zh-CN"/>
              </w:rPr>
            </w:pPr>
            <w:r>
              <w:rPr>
                <w:rFonts w:hint="eastAsia"/>
                <w:color w:val="auto"/>
                <w:lang w:val="en-US" w:eastAsia="zh-CN"/>
              </w:rPr>
              <w:t>可溶性铅：</w:t>
            </w:r>
            <w:r>
              <w:rPr>
                <w:color w:val="auto"/>
              </w:rPr>
              <w:t>≤</w:t>
            </w:r>
            <w:r>
              <w:rPr>
                <w:rFonts w:hint="eastAsia"/>
                <w:color w:val="auto"/>
                <w:lang w:val="en-US" w:eastAsia="zh-CN"/>
              </w:rPr>
              <w:t>90</w:t>
            </w:r>
          </w:p>
        </w:tc>
        <w:tc>
          <w:tcPr>
            <w:tcW w:w="731" w:type="pct"/>
            <w:vMerge w:val="continue"/>
            <w:shd w:val="clear" w:color="auto" w:fill="auto"/>
            <w:vAlign w:val="center"/>
          </w:tcPr>
          <w:p w14:paraId="784B44FB">
            <w:pPr>
              <w:pStyle w:val="179"/>
              <w:rPr>
                <w:rFonts w:hint="default"/>
              </w:rPr>
            </w:pPr>
          </w:p>
        </w:tc>
      </w:tr>
      <w:tr w14:paraId="2E4020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18BC3C97">
            <w:pPr>
              <w:pStyle w:val="179"/>
              <w:rPr>
                <w:rFonts w:hint="default" w:eastAsia="宋体"/>
                <w:lang w:val="en-US" w:eastAsia="zh-CN"/>
              </w:rPr>
            </w:pPr>
            <w:r>
              <w:rPr>
                <w:rFonts w:hint="eastAsia"/>
                <w:lang w:val="en-US" w:eastAsia="zh-CN"/>
              </w:rPr>
              <w:t>36</w:t>
            </w:r>
          </w:p>
        </w:tc>
        <w:tc>
          <w:tcPr>
            <w:tcW w:w="474" w:type="pct"/>
            <w:vMerge w:val="continue"/>
            <w:shd w:val="clear" w:color="auto" w:fill="auto"/>
            <w:vAlign w:val="center"/>
          </w:tcPr>
          <w:p w14:paraId="643DE907">
            <w:pPr>
              <w:pStyle w:val="179"/>
              <w:rPr>
                <w:rFonts w:hint="default"/>
              </w:rPr>
            </w:pPr>
          </w:p>
        </w:tc>
        <w:tc>
          <w:tcPr>
            <w:tcW w:w="681" w:type="pct"/>
            <w:vMerge w:val="continue"/>
            <w:shd w:val="clear" w:color="auto" w:fill="auto"/>
            <w:vAlign w:val="center"/>
          </w:tcPr>
          <w:p w14:paraId="0B0AFD2A">
            <w:pPr>
              <w:pStyle w:val="179"/>
              <w:rPr>
                <w:rFonts w:hint="default"/>
              </w:rPr>
            </w:pPr>
          </w:p>
        </w:tc>
        <w:tc>
          <w:tcPr>
            <w:tcW w:w="1017" w:type="pct"/>
            <w:gridSpan w:val="2"/>
            <w:vMerge w:val="continue"/>
            <w:shd w:val="clear" w:color="auto" w:fill="auto"/>
            <w:vAlign w:val="center"/>
          </w:tcPr>
          <w:p w14:paraId="79DB6AF4">
            <w:pPr>
              <w:pStyle w:val="179"/>
              <w:rPr>
                <w:highlight w:val="none"/>
              </w:rPr>
            </w:pPr>
          </w:p>
        </w:tc>
        <w:tc>
          <w:tcPr>
            <w:tcW w:w="1021" w:type="pct"/>
            <w:vMerge w:val="continue"/>
            <w:shd w:val="clear" w:color="auto" w:fill="auto"/>
            <w:vAlign w:val="center"/>
          </w:tcPr>
          <w:p w14:paraId="4D561006">
            <w:pPr>
              <w:pStyle w:val="179"/>
              <w:rPr>
                <w:rFonts w:hint="eastAsia"/>
                <w:lang w:val="en-US" w:eastAsia="zh-CN"/>
              </w:rPr>
            </w:pPr>
          </w:p>
        </w:tc>
        <w:tc>
          <w:tcPr>
            <w:tcW w:w="792" w:type="pct"/>
            <w:shd w:val="clear" w:color="auto" w:fill="auto"/>
            <w:vAlign w:val="center"/>
          </w:tcPr>
          <w:p w14:paraId="35EB9603">
            <w:pPr>
              <w:pStyle w:val="179"/>
              <w:rPr>
                <w:rFonts w:hint="default"/>
                <w:color w:val="auto"/>
                <w:lang w:val="en-US"/>
              </w:rPr>
            </w:pPr>
            <w:r>
              <w:rPr>
                <w:rFonts w:hint="eastAsia"/>
                <w:color w:val="auto"/>
                <w:lang w:val="en-US" w:eastAsia="zh-CN"/>
              </w:rPr>
              <w:t>可溶性镉：</w:t>
            </w:r>
            <w:r>
              <w:rPr>
                <w:color w:val="auto"/>
              </w:rPr>
              <w:t>≤</w:t>
            </w:r>
            <w:r>
              <w:rPr>
                <w:rFonts w:hint="eastAsia"/>
                <w:color w:val="auto"/>
                <w:lang w:val="en-US" w:eastAsia="zh-CN"/>
              </w:rPr>
              <w:t>75</w:t>
            </w:r>
          </w:p>
        </w:tc>
        <w:tc>
          <w:tcPr>
            <w:tcW w:w="731" w:type="pct"/>
            <w:vMerge w:val="continue"/>
            <w:shd w:val="clear" w:color="auto" w:fill="auto"/>
            <w:vAlign w:val="center"/>
          </w:tcPr>
          <w:p w14:paraId="27DE1FC6">
            <w:pPr>
              <w:pStyle w:val="179"/>
              <w:rPr>
                <w:rFonts w:hint="default"/>
              </w:rPr>
            </w:pPr>
          </w:p>
        </w:tc>
      </w:tr>
      <w:tr w14:paraId="4692AD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68CC163">
            <w:pPr>
              <w:pStyle w:val="179"/>
              <w:rPr>
                <w:rFonts w:hint="default" w:eastAsia="宋体"/>
                <w:lang w:val="en-US" w:eastAsia="zh-CN"/>
              </w:rPr>
            </w:pPr>
            <w:r>
              <w:rPr>
                <w:rFonts w:hint="eastAsia"/>
                <w:lang w:val="en-US" w:eastAsia="zh-CN"/>
              </w:rPr>
              <w:t>37</w:t>
            </w:r>
          </w:p>
        </w:tc>
        <w:tc>
          <w:tcPr>
            <w:tcW w:w="474" w:type="pct"/>
            <w:vMerge w:val="continue"/>
            <w:shd w:val="clear" w:color="auto" w:fill="auto"/>
            <w:vAlign w:val="center"/>
          </w:tcPr>
          <w:p w14:paraId="34088963">
            <w:pPr>
              <w:pStyle w:val="179"/>
              <w:rPr>
                <w:rFonts w:hint="default"/>
              </w:rPr>
            </w:pPr>
          </w:p>
        </w:tc>
        <w:tc>
          <w:tcPr>
            <w:tcW w:w="681" w:type="pct"/>
            <w:vMerge w:val="continue"/>
            <w:shd w:val="clear" w:color="auto" w:fill="auto"/>
            <w:vAlign w:val="center"/>
          </w:tcPr>
          <w:p w14:paraId="58289963">
            <w:pPr>
              <w:pStyle w:val="179"/>
              <w:rPr>
                <w:rFonts w:hint="default"/>
              </w:rPr>
            </w:pPr>
          </w:p>
        </w:tc>
        <w:tc>
          <w:tcPr>
            <w:tcW w:w="1017" w:type="pct"/>
            <w:gridSpan w:val="2"/>
            <w:vMerge w:val="continue"/>
            <w:shd w:val="clear" w:color="auto" w:fill="auto"/>
            <w:vAlign w:val="center"/>
          </w:tcPr>
          <w:p w14:paraId="5B2C4FEC">
            <w:pPr>
              <w:pStyle w:val="179"/>
              <w:rPr>
                <w:highlight w:val="none"/>
              </w:rPr>
            </w:pPr>
          </w:p>
        </w:tc>
        <w:tc>
          <w:tcPr>
            <w:tcW w:w="1021" w:type="pct"/>
            <w:vMerge w:val="continue"/>
            <w:shd w:val="clear" w:color="auto" w:fill="auto"/>
            <w:vAlign w:val="center"/>
          </w:tcPr>
          <w:p w14:paraId="484FD55D">
            <w:pPr>
              <w:pStyle w:val="179"/>
              <w:rPr>
                <w:rFonts w:hint="eastAsia"/>
                <w:lang w:val="en-US" w:eastAsia="zh-CN"/>
              </w:rPr>
            </w:pPr>
          </w:p>
        </w:tc>
        <w:tc>
          <w:tcPr>
            <w:tcW w:w="792" w:type="pct"/>
            <w:shd w:val="clear" w:color="auto" w:fill="auto"/>
            <w:vAlign w:val="center"/>
          </w:tcPr>
          <w:p w14:paraId="2E9502BB">
            <w:pPr>
              <w:pStyle w:val="179"/>
              <w:rPr>
                <w:color w:val="auto"/>
              </w:rPr>
            </w:pPr>
            <w:r>
              <w:rPr>
                <w:rFonts w:hint="eastAsia"/>
                <w:color w:val="auto"/>
                <w:lang w:val="en-US" w:eastAsia="zh-CN"/>
              </w:rPr>
              <w:t>可溶性铬：</w:t>
            </w:r>
            <w:r>
              <w:rPr>
                <w:color w:val="auto"/>
              </w:rPr>
              <w:t>≤</w:t>
            </w:r>
            <w:r>
              <w:rPr>
                <w:rFonts w:hint="eastAsia"/>
                <w:color w:val="auto"/>
                <w:lang w:val="en-US" w:eastAsia="zh-CN"/>
              </w:rPr>
              <w:t>60</w:t>
            </w:r>
          </w:p>
        </w:tc>
        <w:tc>
          <w:tcPr>
            <w:tcW w:w="731" w:type="pct"/>
            <w:vMerge w:val="continue"/>
            <w:shd w:val="clear" w:color="auto" w:fill="auto"/>
            <w:vAlign w:val="center"/>
          </w:tcPr>
          <w:p w14:paraId="1649D927">
            <w:pPr>
              <w:pStyle w:val="179"/>
              <w:rPr>
                <w:rFonts w:hint="default"/>
              </w:rPr>
            </w:pPr>
          </w:p>
        </w:tc>
      </w:tr>
      <w:tr w14:paraId="59BB22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1357742C">
            <w:pPr>
              <w:pStyle w:val="179"/>
              <w:rPr>
                <w:rFonts w:hint="default" w:eastAsia="宋体"/>
                <w:lang w:val="en-US" w:eastAsia="zh-CN"/>
              </w:rPr>
            </w:pPr>
            <w:r>
              <w:rPr>
                <w:rFonts w:hint="eastAsia"/>
                <w:lang w:val="en-US" w:eastAsia="zh-CN"/>
              </w:rPr>
              <w:t>38</w:t>
            </w:r>
          </w:p>
        </w:tc>
        <w:tc>
          <w:tcPr>
            <w:tcW w:w="474" w:type="pct"/>
            <w:vMerge w:val="continue"/>
            <w:shd w:val="clear" w:color="auto" w:fill="auto"/>
            <w:vAlign w:val="center"/>
          </w:tcPr>
          <w:p w14:paraId="140DCE30">
            <w:pPr>
              <w:pStyle w:val="179"/>
              <w:rPr>
                <w:rFonts w:hint="default"/>
              </w:rPr>
            </w:pPr>
          </w:p>
        </w:tc>
        <w:tc>
          <w:tcPr>
            <w:tcW w:w="681" w:type="pct"/>
            <w:vMerge w:val="continue"/>
            <w:shd w:val="clear" w:color="auto" w:fill="auto"/>
            <w:vAlign w:val="center"/>
          </w:tcPr>
          <w:p w14:paraId="2B32362B">
            <w:pPr>
              <w:pStyle w:val="179"/>
              <w:rPr>
                <w:rFonts w:hint="default"/>
              </w:rPr>
            </w:pPr>
          </w:p>
        </w:tc>
        <w:tc>
          <w:tcPr>
            <w:tcW w:w="1017" w:type="pct"/>
            <w:gridSpan w:val="2"/>
            <w:vMerge w:val="continue"/>
            <w:shd w:val="clear" w:color="auto" w:fill="auto"/>
            <w:vAlign w:val="center"/>
          </w:tcPr>
          <w:p w14:paraId="5A6B5CCE">
            <w:pPr>
              <w:pStyle w:val="179"/>
              <w:rPr>
                <w:highlight w:val="none"/>
              </w:rPr>
            </w:pPr>
          </w:p>
        </w:tc>
        <w:tc>
          <w:tcPr>
            <w:tcW w:w="1021" w:type="pct"/>
            <w:vMerge w:val="continue"/>
            <w:shd w:val="clear" w:color="auto" w:fill="auto"/>
            <w:vAlign w:val="center"/>
          </w:tcPr>
          <w:p w14:paraId="23B0BAAB">
            <w:pPr>
              <w:pStyle w:val="179"/>
              <w:rPr>
                <w:rFonts w:hint="eastAsia"/>
                <w:lang w:val="en-US" w:eastAsia="zh-CN"/>
              </w:rPr>
            </w:pPr>
          </w:p>
        </w:tc>
        <w:tc>
          <w:tcPr>
            <w:tcW w:w="792" w:type="pct"/>
            <w:shd w:val="clear" w:color="auto" w:fill="auto"/>
            <w:vAlign w:val="center"/>
          </w:tcPr>
          <w:p w14:paraId="18D25D01">
            <w:pPr>
              <w:pStyle w:val="179"/>
              <w:rPr>
                <w:color w:val="auto"/>
              </w:rPr>
            </w:pPr>
            <w:r>
              <w:rPr>
                <w:rFonts w:hint="eastAsia"/>
                <w:color w:val="auto"/>
                <w:lang w:val="en-US" w:eastAsia="zh-CN"/>
              </w:rPr>
              <w:t>可溶性汞：</w:t>
            </w:r>
            <w:r>
              <w:rPr>
                <w:color w:val="auto"/>
              </w:rPr>
              <w:t>≤</w:t>
            </w:r>
            <w:r>
              <w:rPr>
                <w:rFonts w:hint="eastAsia"/>
                <w:color w:val="auto"/>
                <w:lang w:val="en-US" w:eastAsia="zh-CN"/>
              </w:rPr>
              <w:t>60</w:t>
            </w:r>
          </w:p>
        </w:tc>
        <w:tc>
          <w:tcPr>
            <w:tcW w:w="731" w:type="pct"/>
            <w:vMerge w:val="continue"/>
            <w:shd w:val="clear" w:color="auto" w:fill="auto"/>
            <w:vAlign w:val="center"/>
          </w:tcPr>
          <w:p w14:paraId="22255C5D">
            <w:pPr>
              <w:pStyle w:val="179"/>
              <w:rPr>
                <w:rFonts w:hint="default"/>
              </w:rPr>
            </w:pPr>
          </w:p>
        </w:tc>
      </w:tr>
      <w:tr w14:paraId="46D20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18325A81">
            <w:pPr>
              <w:pStyle w:val="179"/>
              <w:rPr>
                <w:rFonts w:hint="default" w:eastAsia="宋体"/>
                <w:lang w:val="en-US" w:eastAsia="zh-CN"/>
              </w:rPr>
            </w:pPr>
            <w:r>
              <w:rPr>
                <w:rFonts w:hint="eastAsia"/>
                <w:lang w:val="en-US" w:eastAsia="zh-CN"/>
              </w:rPr>
              <w:t>39</w:t>
            </w:r>
          </w:p>
        </w:tc>
        <w:tc>
          <w:tcPr>
            <w:tcW w:w="474" w:type="pct"/>
            <w:vMerge w:val="continue"/>
            <w:shd w:val="clear" w:color="auto" w:fill="auto"/>
            <w:vAlign w:val="center"/>
          </w:tcPr>
          <w:p w14:paraId="4D6CCE71">
            <w:pPr>
              <w:pStyle w:val="179"/>
              <w:rPr>
                <w:rFonts w:hint="default"/>
              </w:rPr>
            </w:pPr>
          </w:p>
        </w:tc>
        <w:tc>
          <w:tcPr>
            <w:tcW w:w="681" w:type="pct"/>
            <w:vMerge w:val="continue"/>
            <w:shd w:val="clear" w:color="auto" w:fill="auto"/>
            <w:vAlign w:val="center"/>
          </w:tcPr>
          <w:p w14:paraId="396657C5">
            <w:pPr>
              <w:pStyle w:val="179"/>
              <w:rPr>
                <w:rFonts w:hint="default"/>
              </w:rPr>
            </w:pPr>
          </w:p>
        </w:tc>
        <w:tc>
          <w:tcPr>
            <w:tcW w:w="1017" w:type="pct"/>
            <w:gridSpan w:val="2"/>
            <w:shd w:val="clear" w:color="auto" w:fill="auto"/>
            <w:vAlign w:val="center"/>
          </w:tcPr>
          <w:p w14:paraId="5FDD683B">
            <w:pPr>
              <w:pStyle w:val="179"/>
              <w:rPr>
                <w:rFonts w:hint="default" w:eastAsia="宋体"/>
                <w:lang w:val="en-US" w:eastAsia="zh-CN"/>
              </w:rPr>
            </w:pPr>
            <w:r>
              <w:rPr>
                <w:highlight w:val="none"/>
              </w:rPr>
              <w:t>邻苯二甲酸酯</w:t>
            </w:r>
            <w:r>
              <w:rPr>
                <w:rFonts w:hint="eastAsia"/>
                <w:highlight w:val="none"/>
                <w:lang w:val="en-US" w:eastAsia="zh-CN"/>
              </w:rPr>
              <w:t xml:space="preserve"> %</w:t>
            </w:r>
          </w:p>
        </w:tc>
        <w:tc>
          <w:tcPr>
            <w:tcW w:w="1021" w:type="pct"/>
            <w:vMerge w:val="continue"/>
            <w:shd w:val="clear" w:color="auto" w:fill="auto"/>
            <w:vAlign w:val="center"/>
          </w:tcPr>
          <w:p w14:paraId="3D421B80">
            <w:pPr>
              <w:pStyle w:val="179"/>
            </w:pPr>
          </w:p>
        </w:tc>
        <w:tc>
          <w:tcPr>
            <w:tcW w:w="792" w:type="pct"/>
            <w:shd w:val="clear" w:color="auto" w:fill="auto"/>
            <w:vAlign w:val="center"/>
          </w:tcPr>
          <w:p w14:paraId="4F3A7C17">
            <w:pPr>
              <w:pStyle w:val="179"/>
              <w:rPr>
                <w:rFonts w:hint="default" w:eastAsia="宋体"/>
                <w:color w:val="auto"/>
                <w:lang w:val="en-US" w:eastAsia="zh-CN"/>
              </w:rPr>
            </w:pPr>
            <w:r>
              <w:rPr>
                <w:color w:val="auto"/>
              </w:rPr>
              <w:t>≤</w:t>
            </w:r>
            <w:r>
              <w:rPr>
                <w:rFonts w:hint="eastAsia"/>
                <w:color w:val="auto"/>
                <w:lang w:val="en-US" w:eastAsia="zh-CN"/>
              </w:rPr>
              <w:t>0.1</w:t>
            </w:r>
          </w:p>
        </w:tc>
        <w:tc>
          <w:tcPr>
            <w:tcW w:w="731" w:type="pct"/>
            <w:vMerge w:val="continue"/>
            <w:shd w:val="clear" w:color="auto" w:fill="auto"/>
            <w:vAlign w:val="center"/>
          </w:tcPr>
          <w:p w14:paraId="29890DB2">
            <w:pPr>
              <w:pStyle w:val="179"/>
              <w:rPr>
                <w:rFonts w:hint="default"/>
              </w:rPr>
            </w:pPr>
          </w:p>
        </w:tc>
      </w:tr>
      <w:tr w14:paraId="09456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431ACA86">
            <w:pPr>
              <w:pStyle w:val="179"/>
              <w:rPr>
                <w:rFonts w:hint="default" w:eastAsia="宋体"/>
                <w:lang w:val="en-US" w:eastAsia="zh-CN"/>
              </w:rPr>
            </w:pPr>
            <w:r>
              <w:rPr>
                <w:rFonts w:hint="eastAsia"/>
                <w:lang w:val="en-US" w:eastAsia="zh-CN"/>
              </w:rPr>
              <w:t>40</w:t>
            </w:r>
          </w:p>
        </w:tc>
        <w:tc>
          <w:tcPr>
            <w:tcW w:w="474" w:type="pct"/>
            <w:vMerge w:val="continue"/>
            <w:shd w:val="clear" w:color="auto" w:fill="auto"/>
            <w:vAlign w:val="center"/>
          </w:tcPr>
          <w:p w14:paraId="03CB79DF">
            <w:pPr>
              <w:pStyle w:val="179"/>
              <w:rPr>
                <w:rFonts w:hint="default"/>
              </w:rPr>
            </w:pPr>
          </w:p>
        </w:tc>
        <w:tc>
          <w:tcPr>
            <w:tcW w:w="681" w:type="pct"/>
            <w:vMerge w:val="continue"/>
            <w:shd w:val="clear" w:color="auto" w:fill="auto"/>
            <w:vAlign w:val="center"/>
          </w:tcPr>
          <w:p w14:paraId="11095512">
            <w:pPr>
              <w:pStyle w:val="179"/>
              <w:rPr>
                <w:rFonts w:hint="default"/>
              </w:rPr>
            </w:pPr>
          </w:p>
        </w:tc>
        <w:tc>
          <w:tcPr>
            <w:tcW w:w="1017" w:type="pct"/>
            <w:gridSpan w:val="2"/>
            <w:shd w:val="clear" w:color="auto" w:fill="auto"/>
            <w:vAlign w:val="center"/>
          </w:tcPr>
          <w:p w14:paraId="59C75BB4">
            <w:pPr>
              <w:pStyle w:val="179"/>
              <w:rPr>
                <w:highlight w:val="none"/>
              </w:rPr>
            </w:pPr>
            <w:r>
              <w:rPr>
                <w:rFonts w:hint="eastAsia"/>
                <w:highlight w:val="none"/>
                <w:lang w:val="en-US" w:eastAsia="zh-CN"/>
              </w:rPr>
              <w:t>甲醛含量</w:t>
            </w:r>
            <w:r>
              <w:t>（mg/kg）</w:t>
            </w:r>
          </w:p>
        </w:tc>
        <w:tc>
          <w:tcPr>
            <w:tcW w:w="1021" w:type="pct"/>
            <w:vMerge w:val="restart"/>
            <w:shd w:val="clear" w:color="auto" w:fill="auto"/>
            <w:vAlign w:val="center"/>
          </w:tcPr>
          <w:p w14:paraId="300C4ACF">
            <w:pPr>
              <w:pStyle w:val="179"/>
              <w:rPr>
                <w:rFonts w:hint="default" w:eastAsia="宋体"/>
                <w:lang w:val="en-US" w:eastAsia="zh-CN"/>
              </w:rPr>
            </w:pPr>
            <w:r>
              <w:rPr>
                <w:rFonts w:hint="eastAsia"/>
                <w:lang w:val="en-US" w:eastAsia="zh-CN"/>
              </w:rPr>
              <w:t>纺织面料</w:t>
            </w:r>
          </w:p>
        </w:tc>
        <w:tc>
          <w:tcPr>
            <w:tcW w:w="792" w:type="pct"/>
            <w:shd w:val="clear" w:color="auto" w:fill="auto"/>
            <w:vAlign w:val="center"/>
          </w:tcPr>
          <w:p w14:paraId="469A86A5">
            <w:pPr>
              <w:pStyle w:val="179"/>
              <w:rPr>
                <w:rFonts w:hint="default" w:eastAsia="宋体"/>
                <w:color w:val="auto"/>
                <w:lang w:val="en-US" w:eastAsia="zh-CN"/>
              </w:rPr>
            </w:pPr>
            <w:r>
              <w:rPr>
                <w:color w:val="auto"/>
              </w:rPr>
              <w:t>≤</w:t>
            </w:r>
            <w:r>
              <w:rPr>
                <w:rFonts w:hint="eastAsia"/>
                <w:color w:val="auto"/>
                <w:lang w:val="en-US" w:eastAsia="zh-CN"/>
              </w:rPr>
              <w:t>30</w:t>
            </w:r>
          </w:p>
        </w:tc>
        <w:tc>
          <w:tcPr>
            <w:tcW w:w="731" w:type="pct"/>
            <w:vMerge w:val="restart"/>
            <w:shd w:val="clear" w:color="auto" w:fill="auto"/>
            <w:vAlign w:val="center"/>
          </w:tcPr>
          <w:p w14:paraId="77A67A7C">
            <w:pPr>
              <w:pStyle w:val="179"/>
              <w:rPr>
                <w:rFonts w:hint="default"/>
              </w:rPr>
            </w:pPr>
            <w:r>
              <w:rPr>
                <w:highlight w:val="none"/>
              </w:rPr>
              <w:t>GB</w:t>
            </w:r>
            <w:r>
              <w:rPr>
                <w:rFonts w:hint="default"/>
                <w:highlight w:val="none"/>
              </w:rPr>
              <w:t xml:space="preserve"> 28007</w:t>
            </w:r>
          </w:p>
        </w:tc>
      </w:tr>
      <w:tr w14:paraId="2EEC00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03EFDDDF">
            <w:pPr>
              <w:pStyle w:val="179"/>
              <w:rPr>
                <w:rFonts w:hint="default" w:eastAsia="宋体"/>
                <w:lang w:val="en-US" w:eastAsia="zh-CN"/>
              </w:rPr>
            </w:pPr>
            <w:r>
              <w:rPr>
                <w:rFonts w:hint="eastAsia"/>
                <w:lang w:val="en-US" w:eastAsia="zh-CN"/>
              </w:rPr>
              <w:t>41</w:t>
            </w:r>
          </w:p>
        </w:tc>
        <w:tc>
          <w:tcPr>
            <w:tcW w:w="474" w:type="pct"/>
            <w:vMerge w:val="continue"/>
            <w:shd w:val="clear" w:color="auto" w:fill="auto"/>
            <w:vAlign w:val="center"/>
          </w:tcPr>
          <w:p w14:paraId="6CE55636">
            <w:pPr>
              <w:pStyle w:val="179"/>
              <w:rPr>
                <w:rFonts w:hint="default"/>
              </w:rPr>
            </w:pPr>
          </w:p>
        </w:tc>
        <w:tc>
          <w:tcPr>
            <w:tcW w:w="681" w:type="pct"/>
            <w:vMerge w:val="continue"/>
            <w:shd w:val="clear" w:color="auto" w:fill="auto"/>
            <w:vAlign w:val="center"/>
          </w:tcPr>
          <w:p w14:paraId="71323B45">
            <w:pPr>
              <w:pStyle w:val="179"/>
              <w:rPr>
                <w:rFonts w:hint="default"/>
              </w:rPr>
            </w:pPr>
          </w:p>
        </w:tc>
        <w:tc>
          <w:tcPr>
            <w:tcW w:w="1017" w:type="pct"/>
            <w:gridSpan w:val="2"/>
            <w:shd w:val="clear" w:color="auto" w:fill="auto"/>
            <w:vAlign w:val="center"/>
          </w:tcPr>
          <w:p w14:paraId="17715759">
            <w:pPr>
              <w:pStyle w:val="179"/>
              <w:rPr>
                <w:highlight w:val="none"/>
              </w:rPr>
            </w:pPr>
            <w:r>
              <w:rPr>
                <w:rFonts w:hint="eastAsia"/>
                <w:highlight w:val="none"/>
                <w:lang w:val="en-US" w:eastAsia="zh-CN"/>
              </w:rPr>
              <w:t>可分解芳香胺</w:t>
            </w:r>
          </w:p>
        </w:tc>
        <w:tc>
          <w:tcPr>
            <w:tcW w:w="1021" w:type="pct"/>
            <w:vMerge w:val="continue"/>
            <w:shd w:val="clear" w:color="auto" w:fill="auto"/>
            <w:vAlign w:val="center"/>
          </w:tcPr>
          <w:p w14:paraId="4A17807F">
            <w:pPr>
              <w:pStyle w:val="179"/>
            </w:pPr>
          </w:p>
        </w:tc>
        <w:tc>
          <w:tcPr>
            <w:tcW w:w="792" w:type="pct"/>
            <w:shd w:val="clear" w:color="auto" w:fill="auto"/>
            <w:vAlign w:val="center"/>
          </w:tcPr>
          <w:p w14:paraId="634E1D27">
            <w:pPr>
              <w:pStyle w:val="179"/>
              <w:rPr>
                <w:rFonts w:hint="eastAsia" w:eastAsia="宋体"/>
                <w:color w:val="auto"/>
                <w:lang w:val="en-US" w:eastAsia="zh-CN"/>
              </w:rPr>
            </w:pPr>
            <w:r>
              <w:rPr>
                <w:rFonts w:hint="eastAsia"/>
                <w:color w:val="auto"/>
                <w:lang w:val="en-US" w:eastAsia="zh-CN"/>
              </w:rPr>
              <w:t>禁用</w:t>
            </w:r>
          </w:p>
        </w:tc>
        <w:tc>
          <w:tcPr>
            <w:tcW w:w="731" w:type="pct"/>
            <w:vMerge w:val="continue"/>
            <w:shd w:val="clear" w:color="auto" w:fill="auto"/>
            <w:vAlign w:val="center"/>
          </w:tcPr>
          <w:p w14:paraId="0BB9F857">
            <w:pPr>
              <w:pStyle w:val="179"/>
              <w:rPr>
                <w:rFonts w:hint="default"/>
              </w:rPr>
            </w:pPr>
          </w:p>
        </w:tc>
      </w:tr>
      <w:tr w14:paraId="0B0E46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313BB77E">
            <w:pPr>
              <w:pStyle w:val="179"/>
              <w:rPr>
                <w:rFonts w:hint="default" w:eastAsia="宋体"/>
                <w:lang w:val="en-US" w:eastAsia="zh-CN"/>
              </w:rPr>
            </w:pPr>
            <w:r>
              <w:rPr>
                <w:rFonts w:hint="eastAsia"/>
                <w:lang w:val="en-US" w:eastAsia="zh-CN"/>
              </w:rPr>
              <w:t>42</w:t>
            </w:r>
          </w:p>
        </w:tc>
        <w:tc>
          <w:tcPr>
            <w:tcW w:w="474" w:type="pct"/>
            <w:vMerge w:val="continue"/>
            <w:shd w:val="clear" w:color="auto" w:fill="auto"/>
            <w:vAlign w:val="center"/>
          </w:tcPr>
          <w:p w14:paraId="45D27C90">
            <w:pPr>
              <w:pStyle w:val="179"/>
              <w:rPr>
                <w:rFonts w:hint="default"/>
              </w:rPr>
            </w:pPr>
          </w:p>
        </w:tc>
        <w:tc>
          <w:tcPr>
            <w:tcW w:w="681" w:type="pct"/>
            <w:vMerge w:val="restart"/>
            <w:shd w:val="clear" w:color="auto" w:fill="auto"/>
            <w:vAlign w:val="center"/>
          </w:tcPr>
          <w:p w14:paraId="48BA5296">
            <w:pPr>
              <w:pStyle w:val="179"/>
              <w:rPr>
                <w:rFonts w:hint="default"/>
              </w:rPr>
            </w:pPr>
            <w:r>
              <w:t>产品寿命（万次）</w:t>
            </w:r>
          </w:p>
        </w:tc>
        <w:tc>
          <w:tcPr>
            <w:tcW w:w="1005" w:type="pct"/>
            <w:shd w:val="clear" w:color="auto" w:fill="auto"/>
            <w:vAlign w:val="center"/>
          </w:tcPr>
          <w:p w14:paraId="0AB67360">
            <w:pPr>
              <w:pStyle w:val="179"/>
              <w:rPr>
                <w:rFonts w:hint="default"/>
              </w:rPr>
            </w:pPr>
            <w:r>
              <w:t>桌类</w:t>
            </w:r>
          </w:p>
        </w:tc>
        <w:tc>
          <w:tcPr>
            <w:tcW w:w="1032" w:type="pct"/>
            <w:gridSpan w:val="2"/>
            <w:shd w:val="clear" w:color="auto" w:fill="auto"/>
            <w:vAlign w:val="center"/>
          </w:tcPr>
          <w:p w14:paraId="45955D20">
            <w:pPr>
              <w:pStyle w:val="179"/>
              <w:rPr>
                <w:rFonts w:hint="default"/>
              </w:rPr>
            </w:pPr>
            <w:r>
              <w:t>桌面水平耐久性</w:t>
            </w:r>
          </w:p>
        </w:tc>
        <w:tc>
          <w:tcPr>
            <w:tcW w:w="792" w:type="pct"/>
            <w:shd w:val="clear" w:color="auto" w:fill="auto"/>
            <w:vAlign w:val="center"/>
          </w:tcPr>
          <w:p w14:paraId="338FFE1C">
            <w:pPr>
              <w:pStyle w:val="179"/>
              <w:rPr>
                <w:rFonts w:hint="default"/>
              </w:rPr>
            </w:pPr>
            <w:r>
              <w:t>≥6</w:t>
            </w:r>
          </w:p>
        </w:tc>
        <w:tc>
          <w:tcPr>
            <w:tcW w:w="731" w:type="pct"/>
            <w:shd w:val="clear" w:color="auto" w:fill="auto"/>
            <w:vAlign w:val="center"/>
          </w:tcPr>
          <w:p w14:paraId="7ECEC126">
            <w:pPr>
              <w:pStyle w:val="179"/>
              <w:rPr>
                <w:rFonts w:hint="default"/>
              </w:rPr>
            </w:pPr>
            <w:r>
              <w:t>GB/T 10357.1</w:t>
            </w:r>
          </w:p>
        </w:tc>
      </w:tr>
      <w:tr w14:paraId="17197B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757C8888">
            <w:pPr>
              <w:pStyle w:val="179"/>
              <w:rPr>
                <w:rFonts w:hint="default" w:eastAsia="宋体"/>
                <w:lang w:val="en-US" w:eastAsia="zh-CN"/>
              </w:rPr>
            </w:pPr>
            <w:r>
              <w:rPr>
                <w:rFonts w:hint="eastAsia"/>
                <w:lang w:val="en-US" w:eastAsia="zh-CN"/>
              </w:rPr>
              <w:t>43</w:t>
            </w:r>
          </w:p>
        </w:tc>
        <w:tc>
          <w:tcPr>
            <w:tcW w:w="474" w:type="pct"/>
            <w:vMerge w:val="continue"/>
            <w:shd w:val="clear" w:color="auto" w:fill="auto"/>
            <w:vAlign w:val="center"/>
          </w:tcPr>
          <w:p w14:paraId="37D7198F">
            <w:pPr>
              <w:pStyle w:val="179"/>
              <w:rPr>
                <w:rFonts w:hint="default"/>
              </w:rPr>
            </w:pPr>
          </w:p>
        </w:tc>
        <w:tc>
          <w:tcPr>
            <w:tcW w:w="681" w:type="pct"/>
            <w:vMerge w:val="continue"/>
            <w:shd w:val="clear" w:color="auto" w:fill="auto"/>
            <w:vAlign w:val="center"/>
          </w:tcPr>
          <w:p w14:paraId="7C189DBD">
            <w:pPr>
              <w:pStyle w:val="179"/>
              <w:rPr>
                <w:rFonts w:hint="default"/>
              </w:rPr>
            </w:pPr>
          </w:p>
        </w:tc>
        <w:tc>
          <w:tcPr>
            <w:tcW w:w="1005" w:type="pct"/>
            <w:vMerge w:val="restart"/>
            <w:shd w:val="clear" w:color="auto" w:fill="auto"/>
            <w:vAlign w:val="center"/>
          </w:tcPr>
          <w:p w14:paraId="70D29A9C">
            <w:pPr>
              <w:pStyle w:val="179"/>
              <w:rPr>
                <w:rFonts w:hint="default"/>
              </w:rPr>
            </w:pPr>
            <w:r>
              <w:t>椅类</w:t>
            </w:r>
          </w:p>
        </w:tc>
        <w:tc>
          <w:tcPr>
            <w:tcW w:w="1032" w:type="pct"/>
            <w:gridSpan w:val="2"/>
            <w:shd w:val="clear" w:color="auto" w:fill="auto"/>
            <w:vAlign w:val="center"/>
          </w:tcPr>
          <w:p w14:paraId="4A489523">
            <w:pPr>
              <w:pStyle w:val="179"/>
              <w:rPr>
                <w:rFonts w:hint="default"/>
              </w:rPr>
            </w:pPr>
            <w:r>
              <w:t>椅座椅背/扶手耐久性</w:t>
            </w:r>
          </w:p>
        </w:tc>
        <w:tc>
          <w:tcPr>
            <w:tcW w:w="792" w:type="pct"/>
            <w:shd w:val="clear" w:color="auto" w:fill="auto"/>
            <w:vAlign w:val="center"/>
          </w:tcPr>
          <w:p w14:paraId="2C25830C">
            <w:pPr>
              <w:pStyle w:val="179"/>
              <w:rPr>
                <w:rFonts w:hint="default"/>
              </w:rPr>
            </w:pPr>
            <w:r>
              <w:t>≥12/6</w:t>
            </w:r>
          </w:p>
        </w:tc>
        <w:tc>
          <w:tcPr>
            <w:tcW w:w="731" w:type="pct"/>
            <w:shd w:val="clear" w:color="auto" w:fill="auto"/>
            <w:vAlign w:val="center"/>
          </w:tcPr>
          <w:p w14:paraId="58D1F789">
            <w:pPr>
              <w:pStyle w:val="179"/>
              <w:rPr>
                <w:rFonts w:hint="default"/>
              </w:rPr>
            </w:pPr>
            <w:r>
              <w:t>GB/T 10357.3（扶手载荷400N）</w:t>
            </w:r>
          </w:p>
        </w:tc>
      </w:tr>
      <w:tr w14:paraId="3ABF8E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80" w:type="pct"/>
            <w:shd w:val="clear" w:color="auto" w:fill="auto"/>
            <w:vAlign w:val="center"/>
          </w:tcPr>
          <w:p w14:paraId="7E1FC7DE">
            <w:pPr>
              <w:pStyle w:val="179"/>
              <w:rPr>
                <w:rFonts w:hint="eastAsia"/>
                <w:lang w:val="en-US" w:eastAsia="zh-CN"/>
              </w:rPr>
            </w:pPr>
          </w:p>
        </w:tc>
        <w:tc>
          <w:tcPr>
            <w:tcW w:w="474" w:type="pct"/>
            <w:vMerge w:val="continue"/>
            <w:shd w:val="clear" w:color="auto" w:fill="auto"/>
            <w:vAlign w:val="center"/>
          </w:tcPr>
          <w:p w14:paraId="5D00BBD6">
            <w:pPr>
              <w:pStyle w:val="179"/>
              <w:rPr>
                <w:rFonts w:hint="default"/>
              </w:rPr>
            </w:pPr>
          </w:p>
        </w:tc>
        <w:tc>
          <w:tcPr>
            <w:tcW w:w="681" w:type="pct"/>
            <w:vMerge w:val="continue"/>
            <w:shd w:val="clear" w:color="auto" w:fill="auto"/>
            <w:vAlign w:val="center"/>
          </w:tcPr>
          <w:p w14:paraId="2C2D0620">
            <w:pPr>
              <w:pStyle w:val="179"/>
              <w:rPr>
                <w:rFonts w:hint="default"/>
              </w:rPr>
            </w:pPr>
          </w:p>
        </w:tc>
        <w:tc>
          <w:tcPr>
            <w:tcW w:w="1005" w:type="pct"/>
            <w:vMerge w:val="continue"/>
            <w:shd w:val="clear" w:color="auto" w:fill="auto"/>
            <w:vAlign w:val="center"/>
          </w:tcPr>
          <w:p w14:paraId="77072B27">
            <w:pPr>
              <w:pStyle w:val="179"/>
            </w:pPr>
          </w:p>
        </w:tc>
        <w:tc>
          <w:tcPr>
            <w:tcW w:w="1032" w:type="pct"/>
            <w:gridSpan w:val="2"/>
            <w:shd w:val="clear" w:color="auto" w:fill="auto"/>
            <w:vAlign w:val="center"/>
          </w:tcPr>
          <w:p w14:paraId="1717B04D">
            <w:pPr>
              <w:pStyle w:val="179"/>
              <w:rPr>
                <w:rFonts w:hint="eastAsia"/>
                <w:highlight w:val="none"/>
                <w:lang w:val="en-US" w:eastAsia="zh-CN"/>
              </w:rPr>
            </w:pPr>
            <w:r>
              <w:rPr>
                <w:rFonts w:hint="eastAsia"/>
                <w:highlight w:val="none"/>
                <w:lang w:val="en-US" w:eastAsia="zh-CN"/>
              </w:rPr>
              <w:t>搁腿耐久性</w:t>
            </w:r>
          </w:p>
          <w:p w14:paraId="25E38A91">
            <w:pPr>
              <w:pStyle w:val="179"/>
            </w:pPr>
            <w:r>
              <w:t>/</w:t>
            </w:r>
            <w:r>
              <w:rPr>
                <w:rFonts w:hint="eastAsia"/>
                <w:highlight w:val="none"/>
                <w:lang w:val="en-US" w:eastAsia="zh-CN"/>
              </w:rPr>
              <w:t>角度调节机构耐久性</w:t>
            </w:r>
          </w:p>
        </w:tc>
        <w:tc>
          <w:tcPr>
            <w:tcW w:w="792" w:type="pct"/>
            <w:shd w:val="clear" w:color="auto" w:fill="auto"/>
            <w:vAlign w:val="center"/>
          </w:tcPr>
          <w:p w14:paraId="3C042154">
            <w:pPr>
              <w:pStyle w:val="179"/>
              <w:rPr>
                <w:rFonts w:hint="default" w:eastAsia="宋体"/>
                <w:lang w:val="en-US" w:eastAsia="zh-CN"/>
              </w:rPr>
            </w:pPr>
            <w:r>
              <w:t>≥</w:t>
            </w:r>
            <w:r>
              <w:rPr>
                <w:rFonts w:hint="eastAsia"/>
                <w:lang w:val="en-US" w:eastAsia="zh-CN"/>
              </w:rPr>
              <w:t>2</w:t>
            </w:r>
            <w:r>
              <w:t>/</w:t>
            </w:r>
            <w:r>
              <w:rPr>
                <w:rFonts w:hint="eastAsia"/>
                <w:lang w:val="en-US" w:eastAsia="zh-CN"/>
              </w:rPr>
              <w:t>1</w:t>
            </w:r>
          </w:p>
        </w:tc>
        <w:tc>
          <w:tcPr>
            <w:tcW w:w="731" w:type="pct"/>
            <w:shd w:val="clear" w:color="auto" w:fill="auto"/>
            <w:vAlign w:val="center"/>
          </w:tcPr>
          <w:p w14:paraId="32F736CC">
            <w:pPr>
              <w:pStyle w:val="179"/>
            </w:pPr>
            <w:r>
              <w:rPr>
                <w:rFonts w:hint="eastAsia" w:hAnsi="宋体"/>
                <w:lang w:val="en-US" w:eastAsia="zh-CN"/>
              </w:rPr>
              <w:t>T/JYBZ 031-2024</w:t>
            </w:r>
          </w:p>
        </w:tc>
      </w:tr>
      <w:tr w14:paraId="604DF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6" w:hRule="atLeast"/>
          <w:jc w:val="center"/>
        </w:trPr>
        <w:tc>
          <w:tcPr>
            <w:tcW w:w="280" w:type="pct"/>
            <w:shd w:val="clear" w:color="auto" w:fill="auto"/>
            <w:vAlign w:val="center"/>
          </w:tcPr>
          <w:p w14:paraId="4D2078CC">
            <w:pPr>
              <w:pStyle w:val="179"/>
              <w:rPr>
                <w:rFonts w:hint="default" w:eastAsia="宋体"/>
                <w:lang w:val="en-US" w:eastAsia="zh-CN"/>
              </w:rPr>
            </w:pPr>
            <w:r>
              <w:rPr>
                <w:rFonts w:hint="eastAsia"/>
                <w:lang w:val="en-US" w:eastAsia="zh-CN"/>
              </w:rPr>
              <w:t>44</w:t>
            </w:r>
          </w:p>
        </w:tc>
        <w:tc>
          <w:tcPr>
            <w:tcW w:w="474" w:type="pct"/>
            <w:vMerge w:val="continue"/>
            <w:shd w:val="clear" w:color="auto" w:fill="auto"/>
            <w:vAlign w:val="center"/>
          </w:tcPr>
          <w:p w14:paraId="3A5A460A">
            <w:pPr>
              <w:pStyle w:val="179"/>
              <w:rPr>
                <w:rFonts w:hint="default"/>
              </w:rPr>
            </w:pPr>
          </w:p>
        </w:tc>
        <w:tc>
          <w:tcPr>
            <w:tcW w:w="681" w:type="pct"/>
            <w:vMerge w:val="restart"/>
            <w:shd w:val="clear" w:color="auto" w:fill="auto"/>
            <w:vAlign w:val="center"/>
          </w:tcPr>
          <w:p w14:paraId="060FC6DD">
            <w:pPr>
              <w:pStyle w:val="179"/>
              <w:rPr>
                <w:rFonts w:hint="default"/>
              </w:rPr>
            </w:pPr>
            <w:r>
              <w:t>表面理化性能</w:t>
            </w:r>
          </w:p>
        </w:tc>
        <w:tc>
          <w:tcPr>
            <w:tcW w:w="1005" w:type="pct"/>
            <w:vMerge w:val="restart"/>
            <w:shd w:val="clear" w:color="auto" w:fill="auto"/>
            <w:vAlign w:val="center"/>
          </w:tcPr>
          <w:p w14:paraId="55700140">
            <w:pPr>
              <w:pStyle w:val="179"/>
              <w:rPr>
                <w:rFonts w:hint="default" w:eastAsia="宋体"/>
                <w:lang w:val="en-US" w:eastAsia="zh-CN"/>
              </w:rPr>
            </w:pPr>
            <w:r>
              <w:rPr>
                <w:rFonts w:hint="eastAsia"/>
                <w:lang w:val="en-US" w:eastAsia="zh-CN"/>
              </w:rPr>
              <w:t>塑料面</w:t>
            </w:r>
          </w:p>
        </w:tc>
        <w:tc>
          <w:tcPr>
            <w:tcW w:w="1032" w:type="pct"/>
            <w:gridSpan w:val="2"/>
            <w:vMerge w:val="restart"/>
            <w:shd w:val="clear" w:color="auto" w:fill="auto"/>
            <w:vAlign w:val="center"/>
          </w:tcPr>
          <w:p w14:paraId="23330703">
            <w:pPr>
              <w:pStyle w:val="179"/>
              <w:rPr>
                <w:rFonts w:hint="eastAsia" w:eastAsia="宋体"/>
                <w:lang w:eastAsia="zh-CN"/>
              </w:rPr>
            </w:pPr>
            <w:r>
              <w:t>耐</w:t>
            </w:r>
            <w:r>
              <w:rPr>
                <w:rFonts w:hint="eastAsia"/>
                <w:lang w:val="en-US" w:eastAsia="zh-CN"/>
              </w:rPr>
              <w:t>老化（500h）</w:t>
            </w:r>
          </w:p>
        </w:tc>
        <w:tc>
          <w:tcPr>
            <w:tcW w:w="792" w:type="pct"/>
            <w:shd w:val="clear" w:color="auto" w:fill="auto"/>
            <w:vAlign w:val="center"/>
          </w:tcPr>
          <w:p w14:paraId="2AE4B4E0">
            <w:pPr>
              <w:pStyle w:val="179"/>
              <w:rPr>
                <w:rFonts w:hint="default"/>
              </w:rPr>
            </w:pPr>
            <w:r>
              <w:rPr>
                <w:rFonts w:hint="eastAsia"/>
                <w:lang w:val="en-US" w:eastAsia="zh-CN"/>
              </w:rPr>
              <w:t>外观颜色变色评级≥3级</w:t>
            </w:r>
          </w:p>
        </w:tc>
        <w:tc>
          <w:tcPr>
            <w:tcW w:w="731" w:type="pct"/>
            <w:shd w:val="clear" w:color="auto" w:fill="auto"/>
            <w:vAlign w:val="center"/>
          </w:tcPr>
          <w:p w14:paraId="64A7ABDD">
            <w:pPr>
              <w:pStyle w:val="179"/>
              <w:rPr>
                <w:rFonts w:hint="eastAsia"/>
                <w:lang w:val="en-US" w:eastAsia="zh-CN"/>
              </w:rPr>
            </w:pPr>
            <w:r>
              <w:rPr>
                <w:rFonts w:hint="eastAsia"/>
                <w:lang w:val="en-US" w:eastAsia="zh-CN"/>
              </w:rPr>
              <w:t>GB/T 16422.2</w:t>
            </w:r>
          </w:p>
          <w:p w14:paraId="039CE485">
            <w:pPr>
              <w:pStyle w:val="179"/>
              <w:rPr>
                <w:rFonts w:hint="default"/>
                <w:lang w:val="en-US" w:eastAsia="zh-CN"/>
              </w:rPr>
            </w:pPr>
            <w:r>
              <w:rPr>
                <w:rFonts w:hint="eastAsia"/>
                <w:lang w:val="en-US" w:eastAsia="zh-CN"/>
              </w:rPr>
              <w:t>GB/T 250</w:t>
            </w:r>
          </w:p>
        </w:tc>
      </w:tr>
      <w:tr w14:paraId="2C1C57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57C147E7">
            <w:pPr>
              <w:pStyle w:val="179"/>
              <w:rPr>
                <w:rFonts w:hint="default" w:eastAsia="宋体"/>
                <w:lang w:val="en-US" w:eastAsia="zh-CN"/>
              </w:rPr>
            </w:pPr>
            <w:r>
              <w:rPr>
                <w:rFonts w:hint="eastAsia"/>
                <w:lang w:val="en-US" w:eastAsia="zh-CN"/>
              </w:rPr>
              <w:t>45</w:t>
            </w:r>
          </w:p>
        </w:tc>
        <w:tc>
          <w:tcPr>
            <w:tcW w:w="474" w:type="pct"/>
            <w:vMerge w:val="continue"/>
            <w:shd w:val="clear" w:color="auto" w:fill="auto"/>
            <w:vAlign w:val="center"/>
          </w:tcPr>
          <w:p w14:paraId="403DE18D">
            <w:pPr>
              <w:pStyle w:val="179"/>
              <w:rPr>
                <w:rFonts w:hint="default"/>
              </w:rPr>
            </w:pPr>
          </w:p>
        </w:tc>
        <w:tc>
          <w:tcPr>
            <w:tcW w:w="681" w:type="pct"/>
            <w:vMerge w:val="continue"/>
            <w:shd w:val="clear" w:color="auto" w:fill="auto"/>
            <w:vAlign w:val="center"/>
          </w:tcPr>
          <w:p w14:paraId="4176ADA2">
            <w:pPr>
              <w:pStyle w:val="179"/>
              <w:rPr>
                <w:rFonts w:hint="default"/>
              </w:rPr>
            </w:pPr>
          </w:p>
        </w:tc>
        <w:tc>
          <w:tcPr>
            <w:tcW w:w="1005" w:type="pct"/>
            <w:vMerge w:val="continue"/>
            <w:shd w:val="clear" w:color="auto" w:fill="auto"/>
            <w:vAlign w:val="center"/>
          </w:tcPr>
          <w:p w14:paraId="2C2F6CFE">
            <w:pPr>
              <w:pStyle w:val="179"/>
              <w:rPr>
                <w:rFonts w:hint="default"/>
              </w:rPr>
            </w:pPr>
          </w:p>
        </w:tc>
        <w:tc>
          <w:tcPr>
            <w:tcW w:w="1032" w:type="pct"/>
            <w:gridSpan w:val="2"/>
            <w:vMerge w:val="continue"/>
            <w:shd w:val="clear" w:color="auto" w:fill="auto"/>
            <w:vAlign w:val="center"/>
          </w:tcPr>
          <w:p w14:paraId="1B5F0F25">
            <w:pPr>
              <w:pStyle w:val="179"/>
              <w:rPr>
                <w:rFonts w:hint="eastAsia" w:eastAsia="宋体"/>
                <w:lang w:eastAsia="zh-CN"/>
              </w:rPr>
            </w:pPr>
          </w:p>
        </w:tc>
        <w:tc>
          <w:tcPr>
            <w:tcW w:w="792" w:type="pct"/>
            <w:shd w:val="clear" w:color="auto" w:fill="auto"/>
            <w:vAlign w:val="center"/>
          </w:tcPr>
          <w:p w14:paraId="74D8D4D5">
            <w:pPr>
              <w:pStyle w:val="179"/>
              <w:rPr>
                <w:rFonts w:hint="default" w:eastAsia="宋体"/>
                <w:lang w:val="en-US" w:eastAsia="zh-CN"/>
              </w:rPr>
            </w:pPr>
            <w:r>
              <w:rPr>
                <w:rFonts w:hint="eastAsia"/>
                <w:lang w:val="en-US" w:eastAsia="zh-CN"/>
              </w:rPr>
              <w:t>拉伸强度、断裂伸长率保持率≥60%</w:t>
            </w:r>
          </w:p>
        </w:tc>
        <w:tc>
          <w:tcPr>
            <w:tcW w:w="731" w:type="pct"/>
            <w:shd w:val="clear" w:color="auto" w:fill="auto"/>
            <w:vAlign w:val="center"/>
          </w:tcPr>
          <w:p w14:paraId="62EB34E8">
            <w:pPr>
              <w:pStyle w:val="179"/>
              <w:rPr>
                <w:rFonts w:hint="default"/>
                <w:lang w:val="en-US"/>
              </w:rPr>
            </w:pPr>
            <w:r>
              <w:rPr>
                <w:rFonts w:hint="eastAsia"/>
                <w:lang w:val="en-US" w:eastAsia="zh-CN"/>
              </w:rPr>
              <w:t>GB/T 1040.3</w:t>
            </w:r>
          </w:p>
        </w:tc>
      </w:tr>
      <w:tr w14:paraId="2292FA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80" w:type="pct"/>
            <w:shd w:val="clear" w:color="auto" w:fill="auto"/>
            <w:vAlign w:val="center"/>
          </w:tcPr>
          <w:p w14:paraId="049F685F">
            <w:pPr>
              <w:pStyle w:val="179"/>
              <w:rPr>
                <w:rFonts w:hint="default" w:eastAsia="宋体"/>
                <w:lang w:val="en-US" w:eastAsia="zh-CN"/>
              </w:rPr>
            </w:pPr>
            <w:r>
              <w:rPr>
                <w:rFonts w:hint="eastAsia"/>
                <w:lang w:val="en-US" w:eastAsia="zh-CN"/>
              </w:rPr>
              <w:t>46</w:t>
            </w:r>
          </w:p>
        </w:tc>
        <w:tc>
          <w:tcPr>
            <w:tcW w:w="474" w:type="pct"/>
            <w:vMerge w:val="continue"/>
            <w:shd w:val="clear" w:color="auto" w:fill="auto"/>
            <w:vAlign w:val="center"/>
          </w:tcPr>
          <w:p w14:paraId="126C9DD1">
            <w:pPr>
              <w:pStyle w:val="179"/>
              <w:rPr>
                <w:rFonts w:hint="default"/>
              </w:rPr>
            </w:pPr>
          </w:p>
        </w:tc>
        <w:tc>
          <w:tcPr>
            <w:tcW w:w="681" w:type="pct"/>
            <w:vMerge w:val="continue"/>
            <w:shd w:val="clear" w:color="auto" w:fill="auto"/>
            <w:vAlign w:val="center"/>
          </w:tcPr>
          <w:p w14:paraId="39ED838F">
            <w:pPr>
              <w:pStyle w:val="179"/>
              <w:rPr>
                <w:rFonts w:hint="default"/>
              </w:rPr>
            </w:pPr>
          </w:p>
        </w:tc>
        <w:tc>
          <w:tcPr>
            <w:tcW w:w="1005" w:type="pct"/>
            <w:vMerge w:val="continue"/>
            <w:shd w:val="clear" w:color="auto" w:fill="auto"/>
            <w:vAlign w:val="center"/>
          </w:tcPr>
          <w:p w14:paraId="13475D94">
            <w:pPr>
              <w:pStyle w:val="179"/>
              <w:rPr>
                <w:rFonts w:hint="default"/>
              </w:rPr>
            </w:pPr>
          </w:p>
        </w:tc>
        <w:tc>
          <w:tcPr>
            <w:tcW w:w="1032" w:type="pct"/>
            <w:gridSpan w:val="2"/>
            <w:shd w:val="clear" w:color="auto" w:fill="auto"/>
            <w:vAlign w:val="center"/>
          </w:tcPr>
          <w:p w14:paraId="2CE3AF6C">
            <w:pPr>
              <w:pStyle w:val="179"/>
              <w:rPr>
                <w:rFonts w:hint="default"/>
              </w:rPr>
            </w:pPr>
            <w:r>
              <w:t>耐污染</w:t>
            </w:r>
          </w:p>
        </w:tc>
        <w:tc>
          <w:tcPr>
            <w:tcW w:w="792" w:type="pct"/>
            <w:shd w:val="clear" w:color="auto" w:fill="auto"/>
            <w:vAlign w:val="center"/>
          </w:tcPr>
          <w:p w14:paraId="59D942B0">
            <w:pPr>
              <w:pStyle w:val="179"/>
              <w:rPr>
                <w:rFonts w:hint="default"/>
              </w:rPr>
            </w:pPr>
            <w:r>
              <w:t>[墨水（蓝色和红色）、印泥、水笔、圆珠笔、涂改液，24h]，无明显痕迹</w:t>
            </w:r>
          </w:p>
        </w:tc>
        <w:tc>
          <w:tcPr>
            <w:tcW w:w="731" w:type="pct"/>
            <w:shd w:val="clear" w:color="auto" w:fill="auto"/>
            <w:vAlign w:val="center"/>
          </w:tcPr>
          <w:p w14:paraId="2A14F87C">
            <w:pPr>
              <w:pStyle w:val="179"/>
              <w:rPr>
                <w:rFonts w:hint="default"/>
              </w:rPr>
            </w:pPr>
            <w:r>
              <w:t>GB/T 17657</w:t>
            </w:r>
          </w:p>
        </w:tc>
      </w:tr>
      <w:tr w14:paraId="3A6730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280" w:type="pct"/>
            <w:shd w:val="clear" w:color="auto" w:fill="auto"/>
            <w:vAlign w:val="center"/>
          </w:tcPr>
          <w:p w14:paraId="0B4E6384">
            <w:pPr>
              <w:pStyle w:val="179"/>
              <w:rPr>
                <w:rFonts w:hint="default" w:eastAsia="宋体"/>
                <w:lang w:val="en-US" w:eastAsia="zh-CN"/>
              </w:rPr>
            </w:pPr>
            <w:r>
              <w:rPr>
                <w:rFonts w:hint="eastAsia"/>
                <w:lang w:val="en-US" w:eastAsia="zh-CN"/>
              </w:rPr>
              <w:t>47</w:t>
            </w:r>
          </w:p>
        </w:tc>
        <w:tc>
          <w:tcPr>
            <w:tcW w:w="474" w:type="pct"/>
            <w:vMerge w:val="continue"/>
            <w:shd w:val="clear" w:color="auto" w:fill="auto"/>
            <w:vAlign w:val="center"/>
          </w:tcPr>
          <w:p w14:paraId="11393320">
            <w:pPr>
              <w:pStyle w:val="179"/>
              <w:rPr>
                <w:rFonts w:hint="default"/>
              </w:rPr>
            </w:pPr>
          </w:p>
        </w:tc>
        <w:tc>
          <w:tcPr>
            <w:tcW w:w="681" w:type="pct"/>
            <w:shd w:val="clear" w:color="auto" w:fill="auto"/>
            <w:vAlign w:val="center"/>
          </w:tcPr>
          <w:p w14:paraId="6B817EAE">
            <w:pPr>
              <w:pStyle w:val="179"/>
              <w:rPr>
                <w:rFonts w:hint="default"/>
              </w:rPr>
            </w:pPr>
            <w:r>
              <w:t>产品设计</w:t>
            </w:r>
          </w:p>
        </w:tc>
        <w:tc>
          <w:tcPr>
            <w:tcW w:w="2831" w:type="pct"/>
            <w:gridSpan w:val="4"/>
            <w:shd w:val="clear" w:color="auto" w:fill="auto"/>
            <w:vAlign w:val="center"/>
          </w:tcPr>
          <w:p w14:paraId="278C5120">
            <w:pPr>
              <w:pStyle w:val="179"/>
              <w:rPr>
                <w:rFonts w:hint="default"/>
              </w:rPr>
            </w:pPr>
            <w:r>
              <w:t>产品设计应科学、人性化、便利化，能满足部分客户定制化的需求（如设计文具存放槽、桌椅高度调节装置、台灯、桌面色调抗疲劳等）</w:t>
            </w:r>
          </w:p>
        </w:tc>
        <w:tc>
          <w:tcPr>
            <w:tcW w:w="731" w:type="pct"/>
            <w:shd w:val="clear" w:color="auto" w:fill="auto"/>
            <w:vAlign w:val="center"/>
          </w:tcPr>
          <w:p w14:paraId="0E8C8A2F">
            <w:pPr>
              <w:pStyle w:val="179"/>
              <w:rPr>
                <w:rFonts w:hint="default"/>
              </w:rPr>
            </w:pPr>
            <w:r>
              <w:t>查看产品实物外观</w:t>
            </w:r>
          </w:p>
        </w:tc>
      </w:tr>
      <w:tr w14:paraId="19BA4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5000" w:type="pct"/>
            <w:gridSpan w:val="8"/>
            <w:shd w:val="clear" w:color="auto" w:fill="auto"/>
            <w:vAlign w:val="center"/>
          </w:tcPr>
          <w:p w14:paraId="1D47FC5E">
            <w:pPr>
              <w:pStyle w:val="180"/>
            </w:pPr>
            <w:r>
              <w:rPr>
                <w:rFonts w:hint="eastAsia"/>
              </w:rPr>
              <w:t>以上</w:t>
            </w:r>
            <w:r>
              <w:t>评价方式或方法仅供参考，检测机构</w:t>
            </w:r>
            <w:r>
              <w:rPr>
                <w:rFonts w:hint="eastAsia"/>
              </w:rPr>
              <w:t>或</w:t>
            </w:r>
            <w:r>
              <w:t>认证机构可根据实际情况</w:t>
            </w:r>
            <w:r>
              <w:rPr>
                <w:rFonts w:hint="eastAsia"/>
              </w:rPr>
              <w:t>选择</w:t>
            </w:r>
            <w:r>
              <w:t>更为科学、</w:t>
            </w:r>
            <w:r>
              <w:rPr>
                <w:rFonts w:hint="eastAsia"/>
              </w:rPr>
              <w:t>适用</w:t>
            </w:r>
            <w:r>
              <w:t>、先进的方法。</w:t>
            </w:r>
          </w:p>
        </w:tc>
      </w:tr>
    </w:tbl>
    <w:p w14:paraId="07B3068D">
      <w:pPr>
        <w:pStyle w:val="105"/>
        <w:spacing w:before="240" w:after="240"/>
        <w:rPr>
          <w:rFonts w:hint="default"/>
        </w:rPr>
      </w:pPr>
      <w:r>
        <w:t>品牌互认</w:t>
      </w:r>
      <w:r>
        <w:rPr>
          <w:rFonts w:hint="eastAsia"/>
          <w:lang w:val="en-US" w:eastAsia="zh-CN"/>
        </w:rPr>
        <w:t xml:space="preserve">  </w:t>
      </w:r>
    </w:p>
    <w:p w14:paraId="483D02C3">
      <w:pPr>
        <w:pStyle w:val="163"/>
        <w:spacing w:before="2" w:after="2"/>
        <w:rPr>
          <w:rFonts w:hint="default"/>
        </w:rPr>
      </w:pPr>
      <w:r>
        <w:t>通过“赣出精品”品牌认定的</w:t>
      </w:r>
      <w:r>
        <w:rPr>
          <w:rFonts w:hint="eastAsia"/>
          <w:lang w:eastAsia="zh-CN"/>
        </w:rPr>
        <w:t>可躺式午休课桌椅</w:t>
      </w:r>
      <w:r>
        <w:t>产品，经江西绿色生态品牌建设促进会及第三方认证机构确认，可以采信为“江西绿色生态”品牌产品，在相关规定下可使用双重品牌证书和标志。</w:t>
      </w:r>
    </w:p>
    <w:p w14:paraId="14C9B150">
      <w:pPr>
        <w:pStyle w:val="163"/>
        <w:spacing w:before="2" w:after="2"/>
        <w:rPr>
          <w:rFonts w:hint="default"/>
        </w:rPr>
      </w:pPr>
      <w:r>
        <w:t>已获得“江西绿色生态”品牌认证证书的，经“赣出精品”品牌主管部门确认，可以采信为“赣出精品”品牌，在相关规定下可使用双重品牌证书和标志。</w:t>
      </w:r>
    </w:p>
    <w:p w14:paraId="5762066E">
      <w:pPr>
        <w:pStyle w:val="163"/>
        <w:spacing w:before="2" w:after="2"/>
        <w:rPr>
          <w:rFonts w:hint="default"/>
        </w:rPr>
      </w:pPr>
      <w:r>
        <w:t>拥有“江西绿色生态”和“赣出精品”双重品牌证书和标志的</w:t>
      </w:r>
      <w:r>
        <w:rPr>
          <w:rFonts w:hint="eastAsia"/>
          <w:lang w:eastAsia="zh-CN"/>
        </w:rPr>
        <w:t>可躺式午休课桌椅</w:t>
      </w:r>
      <w:r>
        <w:t>产品，同等条件下可以享受双方品牌宣传推广和政策优惠的权益。</w:t>
      </w:r>
    </w:p>
    <w:p w14:paraId="375BE2FE">
      <w:pPr>
        <w:pStyle w:val="163"/>
        <w:spacing w:before="2" w:after="2"/>
        <w:rPr>
          <w:rFonts w:hint="default"/>
        </w:rPr>
      </w:pPr>
      <w:r>
        <w:t>拥有“江西绿色生态”和“赣出精品”双重品牌证书和标志的</w:t>
      </w:r>
      <w:r>
        <w:rPr>
          <w:rFonts w:hint="eastAsia"/>
          <w:lang w:eastAsia="zh-CN"/>
        </w:rPr>
        <w:t>可躺式午休课桌椅</w:t>
      </w:r>
      <w:r>
        <w:t>产品，接受双方品牌监督管理的有关规定。</w:t>
      </w:r>
    </w:p>
    <w:p w14:paraId="6F3A56E9">
      <w:pPr>
        <w:pStyle w:val="163"/>
        <w:numPr>
          <w:ilvl w:val="1"/>
          <w:numId w:val="0"/>
        </w:numPr>
        <w:spacing w:before="2" w:after="2"/>
        <w:rPr>
          <w:rFonts w:hint="default"/>
        </w:rPr>
      </w:pPr>
    </w:p>
    <w:p w14:paraId="6832AC02">
      <w:pPr>
        <w:pStyle w:val="163"/>
        <w:numPr>
          <w:ilvl w:val="0"/>
          <w:numId w:val="0"/>
        </w:numPr>
        <w:spacing w:before="2" w:after="2"/>
        <w:rPr>
          <w:rFonts w:hint="default"/>
        </w:rPr>
      </w:pPr>
    </w:p>
    <w:bookmarkEnd w:id="23"/>
    <w:p w14:paraId="7141E66E">
      <w:pPr>
        <w:pStyle w:val="57"/>
        <w:ind w:firstLine="0" w:firstLineChars="0"/>
        <w:jc w:val="center"/>
        <w:rPr>
          <w:rFonts w:hint="default"/>
        </w:rPr>
      </w:pPr>
      <w:bookmarkStart w:id="45"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start="1"/>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F7C43">
    <w:pPr>
      <w:pStyle w:val="18"/>
      <w:rPr>
        <w:rFonts w:hint="default"/>
      </w:rPr>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9647">
    <w:pPr>
      <w:pStyle w:val="18"/>
      <w:ind w:right="720"/>
      <w:jc w:val="both"/>
      <w:rPr>
        <w:rFonts w:hint="default"/>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67656">
    <w:pPr>
      <w:pStyle w:val="53"/>
    </w:pPr>
    <w:r>
      <w:fldChar w:fldCharType="begin"/>
    </w:r>
    <w:r>
      <w:instrText xml:space="preserve">PAGE   \* MERGEFORMAT</w:instrText>
    </w:r>
    <w:r>
      <w:fldChar w:fldCharType="separate"/>
    </w:r>
    <w:r>
      <w:rPr>
        <w:lang w:val="zh-CN"/>
      </w:rP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3E10C">
    <w:pPr>
      <w:pStyle w:val="19"/>
      <w:wordWrap w:val="0"/>
      <w:jc w:val="right"/>
      <w:rPr>
        <w:rFonts w:hint="default" w:ascii="黑体" w:hAnsi="黑体" w:eastAsia="黑体"/>
      </w:rPr>
    </w:pPr>
    <w:r>
      <w:rPr>
        <w:rFonts w:ascii="黑体" w:hAnsi="黑体" w:eastAsia="黑体"/>
      </w:rPr>
      <w:t>Q/LB.□XXXXX-XXXX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9EBD2">
    <w:pPr>
      <w:pStyle w:val="19"/>
      <w:jc w:val="both"/>
      <w:rPr>
        <w:rFonts w:hint="default"/>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E0E6E">
    <w:pPr>
      <w:pStyle w:val="62"/>
    </w:pPr>
    <w:r>
      <w:fldChar w:fldCharType="begin"/>
    </w:r>
    <w:r>
      <w:instrText xml:space="preserve"> STYLEREF  标准文件_文件编号  \* MERGEFORMAT </w:instrText>
    </w:r>
    <w:r>
      <w:fldChar w:fldCharType="separate"/>
    </w:r>
    <w:r>
      <w:t>T/JGE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A5FF2">
    <w:pPr>
      <w:pStyle w:val="19"/>
      <w:jc w:val="right"/>
      <w:rPr>
        <w:rFonts w:hint="default"/>
      </w:rPr>
    </w:pPr>
    <w:r>
      <w:fldChar w:fldCharType="begin"/>
    </w:r>
    <w:r>
      <w:instrText xml:space="preserve"> STYLEREF  标准文件_文件编号  \* MERGEFORMAT </w:instrText>
    </w:r>
    <w:r>
      <w:fldChar w:fldCharType="separate"/>
    </w:r>
    <w:r>
      <w:t>T/JGE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8EFD7"/>
    <w:multiLevelType w:val="multilevel"/>
    <w:tmpl w:val="84B8EFD7"/>
    <w:lvl w:ilvl="0" w:tentative="0">
      <w:start w:val="1"/>
      <w:numFmt w:val="decimal"/>
      <w:pStyle w:val="22"/>
      <w:lvlText w:val="%1)"/>
      <w:lvlJc w:val="left"/>
      <w:pPr>
        <w:tabs>
          <w:tab w:val="left" w:pos="0"/>
        </w:tabs>
        <w:ind w:left="720" w:hanging="357"/>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935A145D"/>
    <w:multiLevelType w:val="multilevel"/>
    <w:tmpl w:val="935A145D"/>
    <w:lvl w:ilvl="0" w:tentative="0">
      <w:start w:val="1"/>
      <w:numFmt w:val="none"/>
      <w:pStyle w:val="249"/>
      <w:suff w:val="nothing"/>
      <w:lvlText w:val="示例："/>
      <w:lvlJc w:val="left"/>
      <w:pPr>
        <w:tabs>
          <w:tab w:val="left" w:pos="539"/>
        </w:tabs>
        <w:ind w:left="0" w:firstLine="363"/>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BEDA64FE"/>
    <w:multiLevelType w:val="multilevel"/>
    <w:tmpl w:val="BEDA64FE"/>
    <w:lvl w:ilvl="0" w:tentative="0">
      <w:start w:val="1"/>
      <w:numFmt w:val="decimal"/>
      <w:pStyle w:val="250"/>
      <w:suff w:val="nothing"/>
      <w:lvlText w:val="示例%1："/>
      <w:lvlJc w:val="left"/>
      <w:pPr>
        <w:tabs>
          <w:tab w:val="left" w:pos="539"/>
        </w:tabs>
        <w:ind w:left="0" w:firstLine="363"/>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E4C9CDC8"/>
    <w:multiLevelType w:val="multilevel"/>
    <w:tmpl w:val="E4C9CDC8"/>
    <w:lvl w:ilvl="0" w:tentative="0">
      <w:start w:val="1"/>
      <w:numFmt w:val="none"/>
      <w:pStyle w:val="133"/>
      <w:lvlText w:val="%1——"/>
      <w:lvlJc w:val="left"/>
      <w:pPr>
        <w:tabs>
          <w:tab w:val="left" w:pos="851"/>
        </w:tabs>
        <w:ind w:left="851" w:hanging="426"/>
      </w:pPr>
      <w:rPr>
        <w:rFonts w:hint="default" w:ascii="Times New Roman" w:hAnsi="Times New Roman" w:eastAsia="宋体" w:cs="Times New Roman"/>
        <w:sz w:val="20"/>
      </w:rPr>
    </w:lvl>
    <w:lvl w:ilvl="1" w:tentative="0">
      <w:start w:val="1"/>
      <w:numFmt w:val="bullet"/>
      <w:pStyle w:val="188"/>
      <w:lvlText w:val=""/>
      <w:lvlJc w:val="left"/>
      <w:pPr>
        <w:tabs>
          <w:tab w:val="left" w:pos="851"/>
        </w:tabs>
        <w:ind w:left="1270" w:hanging="419"/>
      </w:pPr>
      <w:rPr>
        <w:rFonts w:hint="default" w:ascii="Symbol" w:hAnsi="Symbol" w:eastAsia="宋体" w:cs="Symbol"/>
        <w:sz w:val="21"/>
      </w:rPr>
    </w:lvl>
    <w:lvl w:ilvl="2" w:tentative="0">
      <w:start w:val="1"/>
      <w:numFmt w:val="bullet"/>
      <w:pStyle w:val="173"/>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
    <w:nsid w:val="E5D55781"/>
    <w:multiLevelType w:val="multilevel"/>
    <w:tmpl w:val="E5D55781"/>
    <w:lvl w:ilvl="0" w:tentative="0">
      <w:start w:val="1"/>
      <w:numFmt w:val="none"/>
      <w:pStyle w:val="90"/>
      <w:suff w:val="nothing"/>
      <w:lvlText w:val="%1"/>
      <w:lvlJc w:val="left"/>
      <w:pPr>
        <w:ind w:left="425" w:hanging="425"/>
      </w:pPr>
      <w:rPr>
        <w:rFonts w:hint="default"/>
      </w:rPr>
    </w:lvl>
    <w:lvl w:ilvl="1" w:tentative="0">
      <w:start w:val="1"/>
      <w:numFmt w:val="decimal"/>
      <w:pStyle w:val="201"/>
      <w:suff w:val="nothing"/>
      <w:lvlText w:val="%10.%2 "/>
      <w:lvlJc w:val="left"/>
      <w:pPr>
        <w:ind w:left="0" w:firstLine="0"/>
      </w:pPr>
      <w:rPr>
        <w:rFonts w:hint="default" w:ascii="黑体" w:hAnsi="黑体" w:eastAsia="黑体" w:cs="黑体"/>
        <w:sz w:val="20"/>
      </w:rPr>
    </w:lvl>
    <w:lvl w:ilvl="2" w:tentative="0">
      <w:start w:val="1"/>
      <w:numFmt w:val="decimal"/>
      <w:pStyle w:val="202"/>
      <w:suff w:val="nothing"/>
      <w:lvlText w:val="%10.%2.%3 "/>
      <w:lvlJc w:val="left"/>
      <w:pPr>
        <w:ind w:left="0" w:firstLine="0"/>
      </w:pPr>
      <w:rPr>
        <w:rFonts w:hint="default" w:ascii="黑体" w:hAnsi="黑体" w:eastAsia="黑体" w:cs="黑体"/>
        <w:sz w:val="20"/>
      </w:rPr>
    </w:lvl>
    <w:lvl w:ilvl="3" w:tentative="0">
      <w:start w:val="1"/>
      <w:numFmt w:val="decimal"/>
      <w:pStyle w:val="203"/>
      <w:suff w:val="nothing"/>
      <w:lvlText w:val="%10.%2.%3.%4 "/>
      <w:lvlJc w:val="left"/>
      <w:pPr>
        <w:ind w:left="0" w:firstLine="0"/>
      </w:pPr>
      <w:rPr>
        <w:rFonts w:hint="default" w:ascii="黑体" w:hAnsi="黑体" w:eastAsia="黑体" w:cs="黑体"/>
        <w:sz w:val="20"/>
      </w:rPr>
    </w:lvl>
    <w:lvl w:ilvl="4" w:tentative="0">
      <w:start w:val="1"/>
      <w:numFmt w:val="decimal"/>
      <w:pStyle w:val="204"/>
      <w:suff w:val="nothing"/>
      <w:lvlText w:val="%10.%2.%3.%4.%5 "/>
      <w:lvlJc w:val="left"/>
      <w:pPr>
        <w:ind w:left="0" w:firstLine="0"/>
      </w:pPr>
      <w:rPr>
        <w:rFonts w:hint="default" w:ascii="黑体" w:hAnsi="黑体" w:eastAsia="黑体" w:cs="黑体"/>
        <w:sz w:val="20"/>
      </w:rPr>
    </w:lvl>
    <w:lvl w:ilvl="5" w:tentative="0">
      <w:start w:val="1"/>
      <w:numFmt w:val="decimal"/>
      <w:pStyle w:val="205"/>
      <w:suff w:val="nothing"/>
      <w:lvlText w:val="%10.%2.%3.%4.%5.%6 "/>
      <w:lvlJc w:val="left"/>
      <w:pPr>
        <w:ind w:left="0" w:firstLine="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EC214F0B"/>
    <w:multiLevelType w:val="multilevel"/>
    <w:tmpl w:val="EC214F0B"/>
    <w:lvl w:ilvl="0" w:tentative="0">
      <w:start w:val="1"/>
      <w:numFmt w:val="lowerLetter"/>
      <w:pStyle w:val="102"/>
      <w:lvlText w:val="%1"/>
      <w:lvlJc w:val="left"/>
      <w:pPr>
        <w:tabs>
          <w:tab w:val="left" w:pos="539"/>
        </w:tabs>
        <w:ind w:left="539" w:hanging="119"/>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2">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1FB1CC79"/>
    <w:multiLevelType w:val="multilevel"/>
    <w:tmpl w:val="1FB1CC79"/>
    <w:lvl w:ilvl="0" w:tentative="0">
      <w:start w:val="1"/>
      <w:numFmt w:val="upperLetter"/>
      <w:pStyle w:val="247"/>
      <w:lvlText w:val="%1"/>
      <w:lvlJc w:val="left"/>
      <w:pPr>
        <w:tabs>
          <w:tab w:val="left" w:pos="0"/>
        </w:tabs>
        <w:ind w:left="0" w:firstLine="0"/>
      </w:pPr>
      <w:rPr>
        <w:rFonts w:hint="default"/>
      </w:rPr>
    </w:lvl>
    <w:lvl w:ilvl="1" w:tentative="0">
      <w:start w:val="1"/>
      <w:numFmt w:val="decimal"/>
      <w:pStyle w:val="248"/>
      <w:suff w:val="nothing"/>
      <w:lvlText w:val="表%1.%2　"/>
      <w:lvlJc w:val="left"/>
      <w:pPr>
        <w:ind w:left="0" w:firstLine="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6">
    <w:nsid w:val="273E5E6C"/>
    <w:multiLevelType w:val="multilevel"/>
    <w:tmpl w:val="273E5E6C"/>
    <w:lvl w:ilvl="0" w:tentative="0">
      <w:start w:val="1"/>
      <w:numFmt w:val="upperLetter"/>
      <w:pStyle w:val="245"/>
      <w:lvlText w:val="%1"/>
      <w:lvlJc w:val="left"/>
      <w:pPr>
        <w:tabs>
          <w:tab w:val="left" w:pos="0"/>
        </w:tabs>
        <w:ind w:left="0" w:firstLine="0"/>
      </w:pPr>
      <w:rPr>
        <w:rFonts w:hint="default"/>
      </w:rPr>
    </w:lvl>
    <w:lvl w:ilvl="1" w:tentative="0">
      <w:start w:val="1"/>
      <w:numFmt w:val="decimal"/>
      <w:pStyle w:val="246"/>
      <w:suff w:val="nothing"/>
      <w:lvlText w:val="图%1.%2　"/>
      <w:lvlJc w:val="left"/>
      <w:pPr>
        <w:ind w:left="0" w:firstLine="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29A9EDD1"/>
    <w:multiLevelType w:val="multilevel"/>
    <w:tmpl w:val="29A9EDD1"/>
    <w:lvl w:ilvl="0" w:tentative="0">
      <w:start w:val="1"/>
      <w:numFmt w:val="none"/>
      <w:pStyle w:val="251"/>
      <w:suff w:val="nothing"/>
      <w:lvlText w:val="注："/>
      <w:lvlJc w:val="left"/>
      <w:pPr>
        <w:tabs>
          <w:tab w:val="left" w:pos="539"/>
        </w:tabs>
        <w:ind w:left="737" w:hanging="374"/>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2F3C5E92"/>
    <w:multiLevelType w:val="multilevel"/>
    <w:tmpl w:val="2F3C5E92"/>
    <w:lvl w:ilvl="0" w:tentative="0">
      <w:start w:val="1"/>
      <w:numFmt w:val="decimal"/>
      <w:pStyle w:val="254"/>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9">
    <w:nsid w:val="38A03D62"/>
    <w:multiLevelType w:val="multilevel"/>
    <w:tmpl w:val="38A03D62"/>
    <w:lvl w:ilvl="0" w:tentative="0">
      <w:start w:val="1"/>
      <w:numFmt w:val="decimal"/>
      <w:pStyle w:val="115"/>
      <w:suff w:val="nothing"/>
      <w:lvlText w:val="图%1  "/>
      <w:lvlJc w:val="left"/>
      <w:pPr>
        <w:tabs>
          <w:tab w:val="left" w:pos="539"/>
        </w:tabs>
        <w:ind w:left="0" w:firstLine="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0">
    <w:nsid w:val="3C218174"/>
    <w:multiLevelType w:val="multilevel"/>
    <w:tmpl w:val="3C218174"/>
    <w:lvl w:ilvl="0" w:tentative="0">
      <w:start w:val="1"/>
      <w:numFmt w:val="decimal"/>
      <w:pStyle w:val="252"/>
      <w:suff w:val="nothing"/>
      <w:lvlText w:val="注%1："/>
      <w:lvlJc w:val="left"/>
      <w:pPr>
        <w:tabs>
          <w:tab w:val="left" w:pos="539"/>
        </w:tabs>
        <w:ind w:left="811" w:hanging="448"/>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1">
    <w:nsid w:val="3F4BB625"/>
    <w:multiLevelType w:val="multilevel"/>
    <w:tmpl w:val="3F4BB625"/>
    <w:lvl w:ilvl="0" w:tentative="0">
      <w:start w:val="1"/>
      <w:numFmt w:val="lowerLetter"/>
      <w:pStyle w:val="175"/>
      <w:lvlText w:val="%1)"/>
      <w:lvlJc w:val="left"/>
      <w:pPr>
        <w:tabs>
          <w:tab w:val="left" w:pos="851"/>
        </w:tabs>
        <w:ind w:left="851" w:hanging="426"/>
      </w:pPr>
      <w:rPr>
        <w:rFonts w:hint="default" w:ascii="宋体" w:hAnsi="宋体" w:eastAsia="宋体" w:cs="宋体"/>
        <w:sz w:val="20"/>
      </w:rPr>
    </w:lvl>
    <w:lvl w:ilvl="1" w:tentative="0">
      <w:start w:val="1"/>
      <w:numFmt w:val="decimal"/>
      <w:pStyle w:val="110"/>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2">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6507DE9"/>
    <w:multiLevelType w:val="singleLevel"/>
    <w:tmpl w:val="46507DE9"/>
    <w:lvl w:ilvl="0" w:tentative="0">
      <w:start w:val="1"/>
      <w:numFmt w:val="decimal"/>
      <w:suff w:val="nothing"/>
      <w:lvlText w:val="%1、"/>
      <w:lvlJc w:val="left"/>
    </w:lvl>
  </w:abstractNum>
  <w:abstractNum w:abstractNumId="2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4F8DAE4C"/>
    <w:multiLevelType w:val="multilevel"/>
    <w:tmpl w:val="4F8DAE4C"/>
    <w:lvl w:ilvl="0" w:tentative="0">
      <w:start w:val="1"/>
      <w:numFmt w:val="upperLetter"/>
      <w:pStyle w:val="77"/>
      <w:suff w:val="nothing"/>
      <w:lvlText w:val="附录%1"/>
      <w:lvlJc w:val="left"/>
      <w:pPr>
        <w:ind w:left="0" w:firstLine="0"/>
      </w:pPr>
      <w:rPr>
        <w:rFonts w:hint="default"/>
        <w:spacing w:val="102"/>
      </w:rPr>
    </w:lvl>
    <w:lvl w:ilvl="1" w:tentative="0">
      <w:start w:val="1"/>
      <w:numFmt w:val="decimal"/>
      <w:pStyle w:val="79"/>
      <w:suff w:val="nothing"/>
      <w:lvlText w:val="%1.%2　"/>
      <w:lvlJc w:val="left"/>
      <w:pPr>
        <w:ind w:left="0" w:firstLine="0"/>
      </w:pPr>
      <w:rPr>
        <w:rFonts w:hint="default" w:ascii="黑体" w:hAnsi="黑体" w:eastAsia="黑体" w:cs="黑体"/>
        <w:sz w:val="20"/>
      </w:rPr>
    </w:lvl>
    <w:lvl w:ilvl="2" w:tentative="0">
      <w:start w:val="1"/>
      <w:numFmt w:val="decimal"/>
      <w:pStyle w:val="80"/>
      <w:suff w:val="nothing"/>
      <w:lvlText w:val="%1.%2.%3　"/>
      <w:lvlJc w:val="left"/>
      <w:pPr>
        <w:ind w:left="0" w:firstLine="0"/>
      </w:pPr>
      <w:rPr>
        <w:rFonts w:hint="default" w:ascii="黑体" w:hAnsi="黑体" w:eastAsia="黑体" w:cs="黑体"/>
        <w:sz w:val="20"/>
      </w:rPr>
    </w:lvl>
    <w:lvl w:ilvl="3" w:tentative="0">
      <w:start w:val="1"/>
      <w:numFmt w:val="decimal"/>
      <w:pStyle w:val="82"/>
      <w:suff w:val="nothing"/>
      <w:lvlText w:val="%1.%2.%3.%4　"/>
      <w:lvlJc w:val="left"/>
      <w:pPr>
        <w:ind w:left="0" w:firstLine="0"/>
      </w:pPr>
      <w:rPr>
        <w:rFonts w:hint="default" w:ascii="黑体" w:hAnsi="黑体" w:eastAsia="黑体" w:cs="黑体"/>
        <w:sz w:val="20"/>
      </w:rPr>
    </w:lvl>
    <w:lvl w:ilvl="4" w:tentative="0">
      <w:start w:val="1"/>
      <w:numFmt w:val="decimal"/>
      <w:pStyle w:val="83"/>
      <w:suff w:val="nothing"/>
      <w:lvlText w:val="%1.%2.%3.%4.%5　"/>
      <w:lvlJc w:val="left"/>
      <w:pPr>
        <w:ind w:left="0" w:firstLine="0"/>
      </w:pPr>
      <w:rPr>
        <w:rFonts w:hint="default" w:ascii="黑体" w:hAnsi="黑体" w:eastAsia="黑体" w:cs="黑体"/>
        <w:sz w:val="20"/>
      </w:rPr>
    </w:lvl>
    <w:lvl w:ilvl="5" w:tentative="0">
      <w:start w:val="1"/>
      <w:numFmt w:val="decimal"/>
      <w:pStyle w:val="85"/>
      <w:suff w:val="nothing"/>
      <w:lvlText w:val="%1.%2.%3.%4.%5.%6　"/>
      <w:lvlJc w:val="left"/>
      <w:pPr>
        <w:ind w:left="0" w:firstLine="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5657ACD4"/>
    <w:multiLevelType w:val="multilevel"/>
    <w:tmpl w:val="5657ACD4"/>
    <w:lvl w:ilvl="0" w:tentative="0">
      <w:start w:val="1"/>
      <w:numFmt w:val="decimal"/>
      <w:pStyle w:val="105"/>
      <w:suff w:val="nothing"/>
      <w:lvlText w:val="%1　"/>
      <w:lvlJc w:val="left"/>
      <w:pPr>
        <w:ind w:left="0" w:firstLine="0"/>
      </w:pPr>
      <w:rPr>
        <w:rFonts w:hint="default" w:ascii="黑体" w:hAnsi="黑体" w:eastAsia="黑体" w:cs="黑体"/>
        <w:sz w:val="20"/>
      </w:rPr>
    </w:lvl>
    <w:lvl w:ilvl="1" w:tentative="0">
      <w:start w:val="1"/>
      <w:numFmt w:val="decimal"/>
      <w:pStyle w:val="106"/>
      <w:suff w:val="nothing"/>
      <w:lvlText w:val="%1.%2　"/>
      <w:lvlJc w:val="left"/>
      <w:pPr>
        <w:ind w:left="0" w:firstLine="0"/>
      </w:pPr>
      <w:rPr>
        <w:rFonts w:hint="default" w:ascii="黑体" w:hAnsi="黑体" w:eastAsia="黑体" w:cs="黑体"/>
        <w:sz w:val="20"/>
      </w:rPr>
    </w:lvl>
    <w:lvl w:ilvl="2" w:tentative="0">
      <w:start w:val="1"/>
      <w:numFmt w:val="decimal"/>
      <w:pStyle w:val="66"/>
      <w:suff w:val="nothing"/>
      <w:lvlText w:val="%1.%2.%3　"/>
      <w:lvlJc w:val="left"/>
      <w:pPr>
        <w:ind w:left="0" w:firstLine="0"/>
      </w:pPr>
      <w:rPr>
        <w:rFonts w:hint="default" w:ascii="黑体" w:hAnsi="黑体" w:eastAsia="黑体" w:cs="黑体"/>
        <w:sz w:val="20"/>
      </w:rPr>
    </w:lvl>
    <w:lvl w:ilvl="3" w:tentative="0">
      <w:start w:val="1"/>
      <w:numFmt w:val="decimal"/>
      <w:pStyle w:val="95"/>
      <w:suff w:val="nothing"/>
      <w:lvlText w:val="%1.%2.%3.%4　"/>
      <w:lvlJc w:val="left"/>
      <w:pPr>
        <w:ind w:left="0" w:firstLine="0"/>
      </w:pPr>
      <w:rPr>
        <w:rFonts w:hint="default" w:ascii="黑体" w:hAnsi="黑体" w:eastAsia="黑体" w:cs="黑体"/>
        <w:sz w:val="20"/>
      </w:rPr>
    </w:lvl>
    <w:lvl w:ilvl="4" w:tentative="0">
      <w:start w:val="1"/>
      <w:numFmt w:val="decimal"/>
      <w:pStyle w:val="99"/>
      <w:suff w:val="nothing"/>
      <w:lvlText w:val="%1.%2.%3.%4.%5　"/>
      <w:lvlJc w:val="left"/>
      <w:pPr>
        <w:ind w:left="0" w:firstLine="0"/>
      </w:pPr>
      <w:rPr>
        <w:rFonts w:hint="default" w:ascii="黑体" w:hAnsi="黑体" w:eastAsia="黑体" w:cs="黑体"/>
        <w:sz w:val="20"/>
      </w:rPr>
    </w:lvl>
    <w:lvl w:ilvl="5" w:tentative="0">
      <w:start w:val="1"/>
      <w:numFmt w:val="decimal"/>
      <w:pStyle w:val="104"/>
      <w:suff w:val="nothing"/>
      <w:lvlText w:val="%1.%2.%3.%4.%5.%6　"/>
      <w:lvlJc w:val="left"/>
      <w:pPr>
        <w:ind w:left="0" w:firstLine="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1418"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0">
    <w:nsid w:val="706EA0EB"/>
    <w:multiLevelType w:val="multilevel"/>
    <w:tmpl w:val="706EA0EB"/>
    <w:lvl w:ilvl="0" w:tentative="0">
      <w:start w:val="1"/>
      <w:numFmt w:val="decimal"/>
      <w:pStyle w:val="113"/>
      <w:suff w:val="nothing"/>
      <w:lvlText w:val="表%1  "/>
      <w:lvlJc w:val="left"/>
      <w:pPr>
        <w:tabs>
          <w:tab w:val="left" w:pos="539"/>
        </w:tabs>
        <w:ind w:left="0" w:firstLine="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6"/>
  </w:num>
  <w:num w:numId="2">
    <w:abstractNumId w:val="0"/>
  </w:num>
  <w:num w:numId="3">
    <w:abstractNumId w:val="6"/>
  </w:num>
  <w:num w:numId="4">
    <w:abstractNumId w:val="31"/>
  </w:num>
  <w:num w:numId="5">
    <w:abstractNumId w:val="10"/>
  </w:num>
  <w:num w:numId="6">
    <w:abstractNumId w:val="27"/>
  </w:num>
  <w:num w:numId="7">
    <w:abstractNumId w:val="29"/>
  </w:num>
  <w:num w:numId="8">
    <w:abstractNumId w:val="24"/>
  </w:num>
  <w:num w:numId="9">
    <w:abstractNumId w:val="13"/>
  </w:num>
  <w:num w:numId="10">
    <w:abstractNumId w:val="4"/>
  </w:num>
  <w:num w:numId="11">
    <w:abstractNumId w:val="14"/>
  </w:num>
  <w:num w:numId="12">
    <w:abstractNumId w:val="28"/>
  </w:num>
  <w:num w:numId="13">
    <w:abstractNumId w:val="35"/>
  </w:num>
  <w:num w:numId="14">
    <w:abstractNumId w:val="5"/>
  </w:num>
  <w:num w:numId="15">
    <w:abstractNumId w:val="21"/>
  </w:num>
  <w:num w:numId="16">
    <w:abstractNumId w:val="12"/>
  </w:num>
  <w:num w:numId="17">
    <w:abstractNumId w:val="30"/>
  </w:num>
  <w:num w:numId="18">
    <w:abstractNumId w:val="40"/>
  </w:num>
  <w:num w:numId="19">
    <w:abstractNumId w:val="19"/>
  </w:num>
  <w:num w:numId="20">
    <w:abstractNumId w:val="39"/>
  </w:num>
  <w:num w:numId="21">
    <w:abstractNumId w:val="26"/>
  </w:num>
  <w:num w:numId="22">
    <w:abstractNumId w:val="22"/>
  </w:num>
  <w:num w:numId="23">
    <w:abstractNumId w:val="7"/>
  </w:num>
  <w:num w:numId="24">
    <w:abstractNumId w:val="3"/>
  </w:num>
  <w:num w:numId="25">
    <w:abstractNumId w:val="41"/>
  </w:num>
  <w:num w:numId="26">
    <w:abstractNumId w:val="37"/>
  </w:num>
  <w:num w:numId="27">
    <w:abstractNumId w:val="32"/>
  </w:num>
  <w:num w:numId="28">
    <w:abstractNumId w:val="11"/>
  </w:num>
  <w:num w:numId="29">
    <w:abstractNumId w:val="36"/>
  </w:num>
  <w:num w:numId="30">
    <w:abstractNumId w:val="38"/>
  </w:num>
  <w:num w:numId="31">
    <w:abstractNumId w:val="8"/>
  </w:num>
  <w:num w:numId="32">
    <w:abstractNumId w:val="9"/>
  </w:num>
  <w:num w:numId="33">
    <w:abstractNumId w:val="25"/>
  </w:num>
  <w:num w:numId="34">
    <w:abstractNumId w:val="34"/>
  </w:num>
  <w:num w:numId="35">
    <w:abstractNumId w:val="33"/>
  </w:num>
  <w:num w:numId="36">
    <w:abstractNumId w:val="15"/>
  </w:num>
  <w:num w:numId="37">
    <w:abstractNumId w:val="1"/>
  </w:num>
  <w:num w:numId="38">
    <w:abstractNumId w:val="2"/>
  </w:num>
  <w:num w:numId="39">
    <w:abstractNumId w:val="17"/>
  </w:num>
  <w:num w:numId="40">
    <w:abstractNumId w:val="20"/>
  </w:num>
  <w:num w:numId="41">
    <w:abstractNumId w:val="18"/>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dit="forms" w:enforcement="1" w:cryptProviderType="rsaFull" w:cryptAlgorithmClass="hash" w:cryptAlgorithmType="typeAny" w:cryptAlgorithmSid="4" w:cryptSpinCount="50000" w:hash="OhPdD0h8bMogdo559ulu8gF2Wdo=" w:salt="19/Kj+vgXZhNatLCe8Bne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xZDg1MDk0YTAzYjg1MDQ0YjJlMGMxMGRmMmEwOTYifQ=="/>
    <w:docVar w:name="KSO_WPS_MARK_KEY" w:val="6fb4eac6-32f2-4267-b818-8a42eb430e97"/>
  </w:docVars>
  <w:rsids>
    <w:rsidRoot w:val="00BA1729"/>
    <w:rsid w:val="0000040A"/>
    <w:rsid w:val="00000A94"/>
    <w:rsid w:val="00001972"/>
    <w:rsid w:val="00001D9A"/>
    <w:rsid w:val="00002AE4"/>
    <w:rsid w:val="0000486C"/>
    <w:rsid w:val="00007B3A"/>
    <w:rsid w:val="000107E0"/>
    <w:rsid w:val="00011FDE"/>
    <w:rsid w:val="00012FFD"/>
    <w:rsid w:val="00014162"/>
    <w:rsid w:val="00014340"/>
    <w:rsid w:val="00014DDF"/>
    <w:rsid w:val="00016A9C"/>
    <w:rsid w:val="00022184"/>
    <w:rsid w:val="00022762"/>
    <w:rsid w:val="000238E0"/>
    <w:rsid w:val="000249DB"/>
    <w:rsid w:val="0002595E"/>
    <w:rsid w:val="00026E48"/>
    <w:rsid w:val="00027C48"/>
    <w:rsid w:val="000303C3"/>
    <w:rsid w:val="0003073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164"/>
    <w:rsid w:val="00075A34"/>
    <w:rsid w:val="00077B64"/>
    <w:rsid w:val="00080A1C"/>
    <w:rsid w:val="00082317"/>
    <w:rsid w:val="00083D2C"/>
    <w:rsid w:val="00086AA1"/>
    <w:rsid w:val="00087A77"/>
    <w:rsid w:val="00090CA6"/>
    <w:rsid w:val="00091320"/>
    <w:rsid w:val="00092B8A"/>
    <w:rsid w:val="00092FB0"/>
    <w:rsid w:val="000934C5"/>
    <w:rsid w:val="00093D25"/>
    <w:rsid w:val="00093DAB"/>
    <w:rsid w:val="00094D73"/>
    <w:rsid w:val="00095ED3"/>
    <w:rsid w:val="00096D63"/>
    <w:rsid w:val="0009721E"/>
    <w:rsid w:val="000A0B60"/>
    <w:rsid w:val="000A0EB8"/>
    <w:rsid w:val="000A19FC"/>
    <w:rsid w:val="000A296B"/>
    <w:rsid w:val="000A61E6"/>
    <w:rsid w:val="000A7311"/>
    <w:rsid w:val="000B060F"/>
    <w:rsid w:val="000B1592"/>
    <w:rsid w:val="000B1FF2"/>
    <w:rsid w:val="000B3CDA"/>
    <w:rsid w:val="000B6A0B"/>
    <w:rsid w:val="000C0F6C"/>
    <w:rsid w:val="000C11DB"/>
    <w:rsid w:val="000C1492"/>
    <w:rsid w:val="000C1675"/>
    <w:rsid w:val="000C2FBD"/>
    <w:rsid w:val="000C4B41"/>
    <w:rsid w:val="000C57D6"/>
    <w:rsid w:val="000C6362"/>
    <w:rsid w:val="000C7666"/>
    <w:rsid w:val="000D0A9C"/>
    <w:rsid w:val="000D1795"/>
    <w:rsid w:val="000D2F33"/>
    <w:rsid w:val="000D329A"/>
    <w:rsid w:val="000D4B9C"/>
    <w:rsid w:val="000D4EB6"/>
    <w:rsid w:val="000D523A"/>
    <w:rsid w:val="000D753B"/>
    <w:rsid w:val="000E2BBA"/>
    <w:rsid w:val="000E4505"/>
    <w:rsid w:val="000E4C9E"/>
    <w:rsid w:val="000E6657"/>
    <w:rsid w:val="000E6FD7"/>
    <w:rsid w:val="000E7144"/>
    <w:rsid w:val="000F06E1"/>
    <w:rsid w:val="000F0E3C"/>
    <w:rsid w:val="000F19D5"/>
    <w:rsid w:val="000F2E38"/>
    <w:rsid w:val="000F4050"/>
    <w:rsid w:val="000F4AEA"/>
    <w:rsid w:val="000F67E9"/>
    <w:rsid w:val="00103C20"/>
    <w:rsid w:val="00104926"/>
    <w:rsid w:val="00113B1E"/>
    <w:rsid w:val="0011711C"/>
    <w:rsid w:val="00120B61"/>
    <w:rsid w:val="00123326"/>
    <w:rsid w:val="00124E4F"/>
    <w:rsid w:val="001260B7"/>
    <w:rsid w:val="001265CB"/>
    <w:rsid w:val="0013143F"/>
    <w:rsid w:val="001321C6"/>
    <w:rsid w:val="001322F8"/>
    <w:rsid w:val="001325C4"/>
    <w:rsid w:val="00133010"/>
    <w:rsid w:val="001338EE"/>
    <w:rsid w:val="00133AAE"/>
    <w:rsid w:val="00135323"/>
    <w:rsid w:val="001356C4"/>
    <w:rsid w:val="00137565"/>
    <w:rsid w:val="00140C3F"/>
    <w:rsid w:val="00141114"/>
    <w:rsid w:val="00142969"/>
    <w:rsid w:val="001446C2"/>
    <w:rsid w:val="001457E7"/>
    <w:rsid w:val="00145D9D"/>
    <w:rsid w:val="00146388"/>
    <w:rsid w:val="001529E5"/>
    <w:rsid w:val="00152FB3"/>
    <w:rsid w:val="00153C7E"/>
    <w:rsid w:val="00156B25"/>
    <w:rsid w:val="00156E1A"/>
    <w:rsid w:val="00157894"/>
    <w:rsid w:val="00157B55"/>
    <w:rsid w:val="00162CBA"/>
    <w:rsid w:val="001642FA"/>
    <w:rsid w:val="001649EB"/>
    <w:rsid w:val="00164BAF"/>
    <w:rsid w:val="00164FA8"/>
    <w:rsid w:val="00165065"/>
    <w:rsid w:val="00165434"/>
    <w:rsid w:val="001654EE"/>
    <w:rsid w:val="0016580B"/>
    <w:rsid w:val="00165F49"/>
    <w:rsid w:val="00166B88"/>
    <w:rsid w:val="0016770A"/>
    <w:rsid w:val="00170804"/>
    <w:rsid w:val="001708E9"/>
    <w:rsid w:val="00170F46"/>
    <w:rsid w:val="00170F6F"/>
    <w:rsid w:val="0017340B"/>
    <w:rsid w:val="00173FB1"/>
    <w:rsid w:val="00176DFD"/>
    <w:rsid w:val="001852C9"/>
    <w:rsid w:val="001861DE"/>
    <w:rsid w:val="00187A0B"/>
    <w:rsid w:val="00190087"/>
    <w:rsid w:val="001913C4"/>
    <w:rsid w:val="0019348F"/>
    <w:rsid w:val="00193A07"/>
    <w:rsid w:val="00194C95"/>
    <w:rsid w:val="00195C34"/>
    <w:rsid w:val="00196EF5"/>
    <w:rsid w:val="001A0608"/>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9D"/>
    <w:rsid w:val="001D29D7"/>
    <w:rsid w:val="001D2D11"/>
    <w:rsid w:val="001D2DE7"/>
    <w:rsid w:val="001D411C"/>
    <w:rsid w:val="001E1B6A"/>
    <w:rsid w:val="001E2484"/>
    <w:rsid w:val="001E3CC4"/>
    <w:rsid w:val="001E4882"/>
    <w:rsid w:val="001E73AB"/>
    <w:rsid w:val="001F092D"/>
    <w:rsid w:val="001F143A"/>
    <w:rsid w:val="001F1605"/>
    <w:rsid w:val="001F2508"/>
    <w:rsid w:val="001F2C4D"/>
    <w:rsid w:val="001F4816"/>
    <w:rsid w:val="001F69B4"/>
    <w:rsid w:val="001F77C7"/>
    <w:rsid w:val="00200183"/>
    <w:rsid w:val="00200333"/>
    <w:rsid w:val="0020107D"/>
    <w:rsid w:val="00202AA4"/>
    <w:rsid w:val="002031F7"/>
    <w:rsid w:val="002040E6"/>
    <w:rsid w:val="0020527B"/>
    <w:rsid w:val="00205F2C"/>
    <w:rsid w:val="00210B15"/>
    <w:rsid w:val="00211097"/>
    <w:rsid w:val="002142EA"/>
    <w:rsid w:val="00215ADD"/>
    <w:rsid w:val="002204BB"/>
    <w:rsid w:val="00221B79"/>
    <w:rsid w:val="00221C6B"/>
    <w:rsid w:val="002253A1"/>
    <w:rsid w:val="00225CF8"/>
    <w:rsid w:val="0022794E"/>
    <w:rsid w:val="00233D64"/>
    <w:rsid w:val="0023482A"/>
    <w:rsid w:val="002359CB"/>
    <w:rsid w:val="00243540"/>
    <w:rsid w:val="00244386"/>
    <w:rsid w:val="002446E9"/>
    <w:rsid w:val="0024497B"/>
    <w:rsid w:val="0024515B"/>
    <w:rsid w:val="00246021"/>
    <w:rsid w:val="0024666E"/>
    <w:rsid w:val="00247F52"/>
    <w:rsid w:val="00250B25"/>
    <w:rsid w:val="00250BBE"/>
    <w:rsid w:val="002515C2"/>
    <w:rsid w:val="0025194F"/>
    <w:rsid w:val="002544B2"/>
    <w:rsid w:val="00254DB0"/>
    <w:rsid w:val="0026148A"/>
    <w:rsid w:val="00262696"/>
    <w:rsid w:val="0026370C"/>
    <w:rsid w:val="00263D25"/>
    <w:rsid w:val="002643C3"/>
    <w:rsid w:val="00264A0C"/>
    <w:rsid w:val="00266EEB"/>
    <w:rsid w:val="00267EF4"/>
    <w:rsid w:val="00270CB8"/>
    <w:rsid w:val="00272B08"/>
    <w:rsid w:val="00281BB8"/>
    <w:rsid w:val="00281E9E"/>
    <w:rsid w:val="00282405"/>
    <w:rsid w:val="00284D9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88E"/>
    <w:rsid w:val="002A757F"/>
    <w:rsid w:val="002A7F44"/>
    <w:rsid w:val="002B0C40"/>
    <w:rsid w:val="002B1966"/>
    <w:rsid w:val="002B4508"/>
    <w:rsid w:val="002B5432"/>
    <w:rsid w:val="002B5779"/>
    <w:rsid w:val="002B7332"/>
    <w:rsid w:val="002B7F51"/>
    <w:rsid w:val="002C09E7"/>
    <w:rsid w:val="002C1E06"/>
    <w:rsid w:val="002C3F07"/>
    <w:rsid w:val="002C4A04"/>
    <w:rsid w:val="002C5278"/>
    <w:rsid w:val="002C673C"/>
    <w:rsid w:val="002C7EBB"/>
    <w:rsid w:val="002D06C1"/>
    <w:rsid w:val="002D42B5"/>
    <w:rsid w:val="002D4F1A"/>
    <w:rsid w:val="002D5423"/>
    <w:rsid w:val="002D6EC6"/>
    <w:rsid w:val="002D79AC"/>
    <w:rsid w:val="002E039D"/>
    <w:rsid w:val="002E1707"/>
    <w:rsid w:val="002E4D5A"/>
    <w:rsid w:val="002E6326"/>
    <w:rsid w:val="002F30E0"/>
    <w:rsid w:val="002F35E4"/>
    <w:rsid w:val="002F3730"/>
    <w:rsid w:val="002F38E1"/>
    <w:rsid w:val="002F537D"/>
    <w:rsid w:val="002F7AF6"/>
    <w:rsid w:val="00300E63"/>
    <w:rsid w:val="003023CF"/>
    <w:rsid w:val="00302F5F"/>
    <w:rsid w:val="003035C1"/>
    <w:rsid w:val="0030441D"/>
    <w:rsid w:val="00306063"/>
    <w:rsid w:val="00313B85"/>
    <w:rsid w:val="00317988"/>
    <w:rsid w:val="003221B4"/>
    <w:rsid w:val="0032258D"/>
    <w:rsid w:val="00322E62"/>
    <w:rsid w:val="00323CAC"/>
    <w:rsid w:val="00324D13"/>
    <w:rsid w:val="00324EDD"/>
    <w:rsid w:val="003331E4"/>
    <w:rsid w:val="00334546"/>
    <w:rsid w:val="00336C64"/>
    <w:rsid w:val="00337162"/>
    <w:rsid w:val="003374E5"/>
    <w:rsid w:val="0034194F"/>
    <w:rsid w:val="00344605"/>
    <w:rsid w:val="003474AA"/>
    <w:rsid w:val="00350D1D"/>
    <w:rsid w:val="00352C83"/>
    <w:rsid w:val="00352F1A"/>
    <w:rsid w:val="00354EC1"/>
    <w:rsid w:val="0036107C"/>
    <w:rsid w:val="003615D2"/>
    <w:rsid w:val="0036429C"/>
    <w:rsid w:val="00364A53"/>
    <w:rsid w:val="003654CB"/>
    <w:rsid w:val="00365AA9"/>
    <w:rsid w:val="00365F86"/>
    <w:rsid w:val="00365F87"/>
    <w:rsid w:val="00366E89"/>
    <w:rsid w:val="003705F4"/>
    <w:rsid w:val="00370D58"/>
    <w:rsid w:val="00371316"/>
    <w:rsid w:val="00376713"/>
    <w:rsid w:val="00377106"/>
    <w:rsid w:val="00381815"/>
    <w:rsid w:val="003819AF"/>
    <w:rsid w:val="003820E9"/>
    <w:rsid w:val="00382DE7"/>
    <w:rsid w:val="00384FFC"/>
    <w:rsid w:val="003860B0"/>
    <w:rsid w:val="003872FC"/>
    <w:rsid w:val="00387ADC"/>
    <w:rsid w:val="00390020"/>
    <w:rsid w:val="003903D6"/>
    <w:rsid w:val="00390EE6"/>
    <w:rsid w:val="0039118F"/>
    <w:rsid w:val="00392AD7"/>
    <w:rsid w:val="00392D5D"/>
    <w:rsid w:val="003938D9"/>
    <w:rsid w:val="00394205"/>
    <w:rsid w:val="00394376"/>
    <w:rsid w:val="003943FF"/>
    <w:rsid w:val="003974EB"/>
    <w:rsid w:val="00397CC5"/>
    <w:rsid w:val="003A11D1"/>
    <w:rsid w:val="003A121F"/>
    <w:rsid w:val="003A1582"/>
    <w:rsid w:val="003A3D9C"/>
    <w:rsid w:val="003A4077"/>
    <w:rsid w:val="003A4AA7"/>
    <w:rsid w:val="003B09AD"/>
    <w:rsid w:val="003B1F18"/>
    <w:rsid w:val="003B26BF"/>
    <w:rsid w:val="003B2F4F"/>
    <w:rsid w:val="003B5BF0"/>
    <w:rsid w:val="003B60BF"/>
    <w:rsid w:val="003B6BE3"/>
    <w:rsid w:val="003C010C"/>
    <w:rsid w:val="003C0A6C"/>
    <w:rsid w:val="003C14F8"/>
    <w:rsid w:val="003C578C"/>
    <w:rsid w:val="003C5A43"/>
    <w:rsid w:val="003D0519"/>
    <w:rsid w:val="003D0FF6"/>
    <w:rsid w:val="003D1757"/>
    <w:rsid w:val="003D19C8"/>
    <w:rsid w:val="003D262C"/>
    <w:rsid w:val="003D4FDC"/>
    <w:rsid w:val="003D6D61"/>
    <w:rsid w:val="003E019F"/>
    <w:rsid w:val="003E091D"/>
    <w:rsid w:val="003E1BD6"/>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ACD"/>
    <w:rsid w:val="00407D39"/>
    <w:rsid w:val="00413194"/>
    <w:rsid w:val="0041477A"/>
    <w:rsid w:val="004167A3"/>
    <w:rsid w:val="00427A71"/>
    <w:rsid w:val="00432DAA"/>
    <w:rsid w:val="00434305"/>
    <w:rsid w:val="00435DF7"/>
    <w:rsid w:val="0044083F"/>
    <w:rsid w:val="00441AE7"/>
    <w:rsid w:val="00445574"/>
    <w:rsid w:val="004467FB"/>
    <w:rsid w:val="00452D6B"/>
    <w:rsid w:val="00454484"/>
    <w:rsid w:val="0045517B"/>
    <w:rsid w:val="00461EDD"/>
    <w:rsid w:val="00463B77"/>
    <w:rsid w:val="00463C7B"/>
    <w:rsid w:val="004644A6"/>
    <w:rsid w:val="004657B0"/>
    <w:rsid w:val="004659BD"/>
    <w:rsid w:val="00470775"/>
    <w:rsid w:val="004746B1"/>
    <w:rsid w:val="0047583F"/>
    <w:rsid w:val="00475DE8"/>
    <w:rsid w:val="00481C44"/>
    <w:rsid w:val="00484936"/>
    <w:rsid w:val="00485C89"/>
    <w:rsid w:val="00486BE3"/>
    <w:rsid w:val="0048780A"/>
    <w:rsid w:val="004905E4"/>
    <w:rsid w:val="00490A89"/>
    <w:rsid w:val="00490AB4"/>
    <w:rsid w:val="00490F80"/>
    <w:rsid w:val="00492F02"/>
    <w:rsid w:val="004934D4"/>
    <w:rsid w:val="004939AE"/>
    <w:rsid w:val="00493C7D"/>
    <w:rsid w:val="004A12DF"/>
    <w:rsid w:val="004A1BA8"/>
    <w:rsid w:val="004A2108"/>
    <w:rsid w:val="004A4B57"/>
    <w:rsid w:val="004A63FA"/>
    <w:rsid w:val="004A6A3D"/>
    <w:rsid w:val="004B0272"/>
    <w:rsid w:val="004B0F9C"/>
    <w:rsid w:val="004B2701"/>
    <w:rsid w:val="004B2E1B"/>
    <w:rsid w:val="004B3AA8"/>
    <w:rsid w:val="004B3E93"/>
    <w:rsid w:val="004C1FBC"/>
    <w:rsid w:val="004C25A2"/>
    <w:rsid w:val="004C36B2"/>
    <w:rsid w:val="004C3F1D"/>
    <w:rsid w:val="004C458D"/>
    <w:rsid w:val="004C7556"/>
    <w:rsid w:val="004C7E8B"/>
    <w:rsid w:val="004C7E9D"/>
    <w:rsid w:val="004C7F67"/>
    <w:rsid w:val="004D076D"/>
    <w:rsid w:val="004D0EF1"/>
    <w:rsid w:val="004D2253"/>
    <w:rsid w:val="004D4406"/>
    <w:rsid w:val="004D4CFA"/>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94"/>
    <w:rsid w:val="00513EC3"/>
    <w:rsid w:val="00514174"/>
    <w:rsid w:val="00516088"/>
    <w:rsid w:val="00516B0B"/>
    <w:rsid w:val="005220EC"/>
    <w:rsid w:val="00523F95"/>
    <w:rsid w:val="00524D65"/>
    <w:rsid w:val="00525B16"/>
    <w:rsid w:val="0053323C"/>
    <w:rsid w:val="00533D04"/>
    <w:rsid w:val="00534804"/>
    <w:rsid w:val="00534BDF"/>
    <w:rsid w:val="005354EA"/>
    <w:rsid w:val="0053585F"/>
    <w:rsid w:val="00535EC4"/>
    <w:rsid w:val="00535ED9"/>
    <w:rsid w:val="0053692B"/>
    <w:rsid w:val="005371FD"/>
    <w:rsid w:val="00541853"/>
    <w:rsid w:val="00543BDA"/>
    <w:rsid w:val="005441CC"/>
    <w:rsid w:val="005479DA"/>
    <w:rsid w:val="00547BCC"/>
    <w:rsid w:val="0055013B"/>
    <w:rsid w:val="00551F6F"/>
    <w:rsid w:val="00555044"/>
    <w:rsid w:val="00561475"/>
    <w:rsid w:val="00562308"/>
    <w:rsid w:val="0056487B"/>
    <w:rsid w:val="0056496A"/>
    <w:rsid w:val="00564FB9"/>
    <w:rsid w:val="00573D9E"/>
    <w:rsid w:val="005748DA"/>
    <w:rsid w:val="005801E3"/>
    <w:rsid w:val="00581802"/>
    <w:rsid w:val="00582D2C"/>
    <w:rsid w:val="005836A8"/>
    <w:rsid w:val="0058409C"/>
    <w:rsid w:val="00584262"/>
    <w:rsid w:val="00586630"/>
    <w:rsid w:val="00587ADD"/>
    <w:rsid w:val="00593A49"/>
    <w:rsid w:val="00594C93"/>
    <w:rsid w:val="00596160"/>
    <w:rsid w:val="005962BC"/>
    <w:rsid w:val="005966E2"/>
    <w:rsid w:val="00597007"/>
    <w:rsid w:val="005A0966"/>
    <w:rsid w:val="005A0DCB"/>
    <w:rsid w:val="005A11B7"/>
    <w:rsid w:val="005A260B"/>
    <w:rsid w:val="005A4A1B"/>
    <w:rsid w:val="005A7830"/>
    <w:rsid w:val="005A7FCE"/>
    <w:rsid w:val="005B09EB"/>
    <w:rsid w:val="005B0F3F"/>
    <w:rsid w:val="005B191C"/>
    <w:rsid w:val="005B4903"/>
    <w:rsid w:val="005B51CE"/>
    <w:rsid w:val="005B5885"/>
    <w:rsid w:val="005B5CD7"/>
    <w:rsid w:val="005B6CF6"/>
    <w:rsid w:val="005B7422"/>
    <w:rsid w:val="005C048D"/>
    <w:rsid w:val="005C29B8"/>
    <w:rsid w:val="005C5F21"/>
    <w:rsid w:val="005C7156"/>
    <w:rsid w:val="005D0C75"/>
    <w:rsid w:val="005D4171"/>
    <w:rsid w:val="005D63F4"/>
    <w:rsid w:val="005D6A95"/>
    <w:rsid w:val="005D6B2C"/>
    <w:rsid w:val="005D6D9C"/>
    <w:rsid w:val="005E2335"/>
    <w:rsid w:val="005E34CA"/>
    <w:rsid w:val="005E3C18"/>
    <w:rsid w:val="005E4250"/>
    <w:rsid w:val="005E53C7"/>
    <w:rsid w:val="005E6812"/>
    <w:rsid w:val="005E7881"/>
    <w:rsid w:val="005E78E0"/>
    <w:rsid w:val="005F0D9C"/>
    <w:rsid w:val="005F284E"/>
    <w:rsid w:val="005F7B3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80A"/>
    <w:rsid w:val="00634D9E"/>
    <w:rsid w:val="00636E3E"/>
    <w:rsid w:val="006379F7"/>
    <w:rsid w:val="00637E4D"/>
    <w:rsid w:val="00640130"/>
    <w:rsid w:val="00640620"/>
    <w:rsid w:val="00641A1F"/>
    <w:rsid w:val="00641B7E"/>
    <w:rsid w:val="00641BFF"/>
    <w:rsid w:val="00644EEB"/>
    <w:rsid w:val="00645904"/>
    <w:rsid w:val="00651ACB"/>
    <w:rsid w:val="00651C47"/>
    <w:rsid w:val="00652AB2"/>
    <w:rsid w:val="00653FED"/>
    <w:rsid w:val="00654A9D"/>
    <w:rsid w:val="00654EC0"/>
    <w:rsid w:val="0065525B"/>
    <w:rsid w:val="00655D4F"/>
    <w:rsid w:val="00656D29"/>
    <w:rsid w:val="006640E5"/>
    <w:rsid w:val="006646F1"/>
    <w:rsid w:val="00664929"/>
    <w:rsid w:val="00664F62"/>
    <w:rsid w:val="006655E1"/>
    <w:rsid w:val="006670DB"/>
    <w:rsid w:val="00672060"/>
    <w:rsid w:val="00672BFD"/>
    <w:rsid w:val="006770F4"/>
    <w:rsid w:val="00677A84"/>
    <w:rsid w:val="0068026D"/>
    <w:rsid w:val="00680A27"/>
    <w:rsid w:val="006816A4"/>
    <w:rsid w:val="006819B8"/>
    <w:rsid w:val="006840A6"/>
    <w:rsid w:val="006850CD"/>
    <w:rsid w:val="00685AAB"/>
    <w:rsid w:val="0069000A"/>
    <w:rsid w:val="00692BC7"/>
    <w:rsid w:val="00695452"/>
    <w:rsid w:val="00695ED1"/>
    <w:rsid w:val="00696D09"/>
    <w:rsid w:val="006A07AA"/>
    <w:rsid w:val="006A07BC"/>
    <w:rsid w:val="006A13F6"/>
    <w:rsid w:val="006A25E5"/>
    <w:rsid w:val="006A26A0"/>
    <w:rsid w:val="006A2B46"/>
    <w:rsid w:val="006A336D"/>
    <w:rsid w:val="006A37B9"/>
    <w:rsid w:val="006A687D"/>
    <w:rsid w:val="006B2672"/>
    <w:rsid w:val="006B54BF"/>
    <w:rsid w:val="006B5F44"/>
    <w:rsid w:val="006B5F90"/>
    <w:rsid w:val="006B62E4"/>
    <w:rsid w:val="006C0884"/>
    <w:rsid w:val="006C1BBA"/>
    <w:rsid w:val="006C2079"/>
    <w:rsid w:val="006C38F4"/>
    <w:rsid w:val="006C41B6"/>
    <w:rsid w:val="006C4E79"/>
    <w:rsid w:val="006C5A62"/>
    <w:rsid w:val="006C5D68"/>
    <w:rsid w:val="006C6976"/>
    <w:rsid w:val="006C6DD0"/>
    <w:rsid w:val="006D04EA"/>
    <w:rsid w:val="006D16C4"/>
    <w:rsid w:val="006D28FE"/>
    <w:rsid w:val="006D3E96"/>
    <w:rsid w:val="006D4515"/>
    <w:rsid w:val="006D4750"/>
    <w:rsid w:val="006D4BB1"/>
    <w:rsid w:val="006D6593"/>
    <w:rsid w:val="006E0D74"/>
    <w:rsid w:val="006F03A8"/>
    <w:rsid w:val="006F2ACA"/>
    <w:rsid w:val="006F2ADC"/>
    <w:rsid w:val="006F2BFE"/>
    <w:rsid w:val="006F31E9"/>
    <w:rsid w:val="006F4C6E"/>
    <w:rsid w:val="006F6284"/>
    <w:rsid w:val="007002C5"/>
    <w:rsid w:val="00703083"/>
    <w:rsid w:val="00704387"/>
    <w:rsid w:val="00706790"/>
    <w:rsid w:val="00707669"/>
    <w:rsid w:val="0071006E"/>
    <w:rsid w:val="00711CBA"/>
    <w:rsid w:val="00711FB5"/>
    <w:rsid w:val="00712A01"/>
    <w:rsid w:val="00714F58"/>
    <w:rsid w:val="00722244"/>
    <w:rsid w:val="00722FBF"/>
    <w:rsid w:val="00722FC2"/>
    <w:rsid w:val="00724E1B"/>
    <w:rsid w:val="00725949"/>
    <w:rsid w:val="00727FA2"/>
    <w:rsid w:val="007322D9"/>
    <w:rsid w:val="00732BC0"/>
    <w:rsid w:val="00733C74"/>
    <w:rsid w:val="0073720F"/>
    <w:rsid w:val="00737796"/>
    <w:rsid w:val="0074165C"/>
    <w:rsid w:val="00742C35"/>
    <w:rsid w:val="007432CA"/>
    <w:rsid w:val="007439EB"/>
    <w:rsid w:val="00743CB4"/>
    <w:rsid w:val="00743F0A"/>
    <w:rsid w:val="007444E8"/>
    <w:rsid w:val="0074548E"/>
    <w:rsid w:val="00745773"/>
    <w:rsid w:val="00746800"/>
    <w:rsid w:val="007501A8"/>
    <w:rsid w:val="00750BF4"/>
    <w:rsid w:val="00750D61"/>
    <w:rsid w:val="00750EE1"/>
    <w:rsid w:val="00752B4D"/>
    <w:rsid w:val="00755402"/>
    <w:rsid w:val="00756B26"/>
    <w:rsid w:val="00756EDF"/>
    <w:rsid w:val="007600E3"/>
    <w:rsid w:val="00764A51"/>
    <w:rsid w:val="00765C43"/>
    <w:rsid w:val="00765EFB"/>
    <w:rsid w:val="007671CA"/>
    <w:rsid w:val="00767C61"/>
    <w:rsid w:val="0077008A"/>
    <w:rsid w:val="00773520"/>
    <w:rsid w:val="00773C1F"/>
    <w:rsid w:val="00774DA4"/>
    <w:rsid w:val="00776599"/>
    <w:rsid w:val="00777129"/>
    <w:rsid w:val="0078114B"/>
    <w:rsid w:val="00781DD2"/>
    <w:rsid w:val="00783ECF"/>
    <w:rsid w:val="0078413A"/>
    <w:rsid w:val="00790F2A"/>
    <w:rsid w:val="00792F86"/>
    <w:rsid w:val="007959E8"/>
    <w:rsid w:val="00795E9C"/>
    <w:rsid w:val="007A0521"/>
    <w:rsid w:val="007A2E12"/>
    <w:rsid w:val="007A3475"/>
    <w:rsid w:val="007A41C8"/>
    <w:rsid w:val="007A54CE"/>
    <w:rsid w:val="007A5D3A"/>
    <w:rsid w:val="007A6FD9"/>
    <w:rsid w:val="007A7FFA"/>
    <w:rsid w:val="007B04EB"/>
    <w:rsid w:val="007B0D4F"/>
    <w:rsid w:val="007B58FC"/>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A0D"/>
    <w:rsid w:val="007D76BD"/>
    <w:rsid w:val="007D7BC7"/>
    <w:rsid w:val="007E0BF1"/>
    <w:rsid w:val="007E1A31"/>
    <w:rsid w:val="007F0ED8"/>
    <w:rsid w:val="007F0F63"/>
    <w:rsid w:val="007F75CE"/>
    <w:rsid w:val="0080083F"/>
    <w:rsid w:val="008013A4"/>
    <w:rsid w:val="008027CE"/>
    <w:rsid w:val="00802F42"/>
    <w:rsid w:val="00804383"/>
    <w:rsid w:val="00804BB7"/>
    <w:rsid w:val="00804D41"/>
    <w:rsid w:val="00805430"/>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157"/>
    <w:rsid w:val="0083348C"/>
    <w:rsid w:val="008373D3"/>
    <w:rsid w:val="0083783A"/>
    <w:rsid w:val="00840617"/>
    <w:rsid w:val="00840F84"/>
    <w:rsid w:val="00842A47"/>
    <w:rsid w:val="00843C13"/>
    <w:rsid w:val="00843DEF"/>
    <w:rsid w:val="008454DF"/>
    <w:rsid w:val="008454F8"/>
    <w:rsid w:val="00845F7E"/>
    <w:rsid w:val="0085173A"/>
    <w:rsid w:val="00852073"/>
    <w:rsid w:val="008603CE"/>
    <w:rsid w:val="008620FC"/>
    <w:rsid w:val="008627A5"/>
    <w:rsid w:val="00863E05"/>
    <w:rsid w:val="00864CC8"/>
    <w:rsid w:val="00865ACA"/>
    <w:rsid w:val="00865D28"/>
    <w:rsid w:val="00865F85"/>
    <w:rsid w:val="00867C10"/>
    <w:rsid w:val="00870439"/>
    <w:rsid w:val="00870DA1"/>
    <w:rsid w:val="00883F93"/>
    <w:rsid w:val="00884DB3"/>
    <w:rsid w:val="00885A9D"/>
    <w:rsid w:val="008864F6"/>
    <w:rsid w:val="0089049D"/>
    <w:rsid w:val="008928C9"/>
    <w:rsid w:val="008930CB"/>
    <w:rsid w:val="00893693"/>
    <w:rsid w:val="008938DC"/>
    <w:rsid w:val="00893FD1"/>
    <w:rsid w:val="00894836"/>
    <w:rsid w:val="00895172"/>
    <w:rsid w:val="00895680"/>
    <w:rsid w:val="0089571E"/>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3C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8A7"/>
    <w:rsid w:val="008F0CDC"/>
    <w:rsid w:val="008F17A3"/>
    <w:rsid w:val="008F1ED3"/>
    <w:rsid w:val="008F4C29"/>
    <w:rsid w:val="008F70BD"/>
    <w:rsid w:val="008F788F"/>
    <w:rsid w:val="008F7EA2"/>
    <w:rsid w:val="00902722"/>
    <w:rsid w:val="009027BC"/>
    <w:rsid w:val="009062E6"/>
    <w:rsid w:val="00910EED"/>
    <w:rsid w:val="00911BE5"/>
    <w:rsid w:val="00913CA9"/>
    <w:rsid w:val="009145AE"/>
    <w:rsid w:val="009146CE"/>
    <w:rsid w:val="00914CA7"/>
    <w:rsid w:val="00915C3E"/>
    <w:rsid w:val="009161A8"/>
    <w:rsid w:val="00923001"/>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5F82"/>
    <w:rsid w:val="00977010"/>
    <w:rsid w:val="00977D02"/>
    <w:rsid w:val="00977FF9"/>
    <w:rsid w:val="009809BB"/>
    <w:rsid w:val="00982F58"/>
    <w:rsid w:val="0098364B"/>
    <w:rsid w:val="009857C7"/>
    <w:rsid w:val="009908A3"/>
    <w:rsid w:val="009911AF"/>
    <w:rsid w:val="00991875"/>
    <w:rsid w:val="00991F92"/>
    <w:rsid w:val="00992985"/>
    <w:rsid w:val="009930A0"/>
    <w:rsid w:val="00993889"/>
    <w:rsid w:val="00994BCD"/>
    <w:rsid w:val="0099551B"/>
    <w:rsid w:val="009969FC"/>
    <w:rsid w:val="00996BD2"/>
    <w:rsid w:val="00997BF1"/>
    <w:rsid w:val="009A089C"/>
    <w:rsid w:val="009A118E"/>
    <w:rsid w:val="009A21CD"/>
    <w:rsid w:val="009A278C"/>
    <w:rsid w:val="009A2BC2"/>
    <w:rsid w:val="009A42C1"/>
    <w:rsid w:val="009A5429"/>
    <w:rsid w:val="009A72AD"/>
    <w:rsid w:val="009B09E0"/>
    <w:rsid w:val="009B0BC5"/>
    <w:rsid w:val="009B1247"/>
    <w:rsid w:val="009B4746"/>
    <w:rsid w:val="009B6029"/>
    <w:rsid w:val="009B6971"/>
    <w:rsid w:val="009B6E54"/>
    <w:rsid w:val="009C27A1"/>
    <w:rsid w:val="009C27F1"/>
    <w:rsid w:val="009C3152"/>
    <w:rsid w:val="009C3257"/>
    <w:rsid w:val="009C4CFA"/>
    <w:rsid w:val="009C5070"/>
    <w:rsid w:val="009D112C"/>
    <w:rsid w:val="009D1385"/>
    <w:rsid w:val="009D411B"/>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5F25"/>
    <w:rsid w:val="00A169B6"/>
    <w:rsid w:val="00A17C23"/>
    <w:rsid w:val="00A206B7"/>
    <w:rsid w:val="00A20BE9"/>
    <w:rsid w:val="00A2271D"/>
    <w:rsid w:val="00A237D5"/>
    <w:rsid w:val="00A30EFC"/>
    <w:rsid w:val="00A31984"/>
    <w:rsid w:val="00A327F4"/>
    <w:rsid w:val="00A32D73"/>
    <w:rsid w:val="00A3367B"/>
    <w:rsid w:val="00A33C67"/>
    <w:rsid w:val="00A3597D"/>
    <w:rsid w:val="00A36DD1"/>
    <w:rsid w:val="00A37E99"/>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BA7"/>
    <w:rsid w:val="00A67866"/>
    <w:rsid w:val="00A70B07"/>
    <w:rsid w:val="00A723F8"/>
    <w:rsid w:val="00A751B0"/>
    <w:rsid w:val="00A77CCB"/>
    <w:rsid w:val="00A828C7"/>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280"/>
    <w:rsid w:val="00AB43F1"/>
    <w:rsid w:val="00AB6309"/>
    <w:rsid w:val="00AB6C5F"/>
    <w:rsid w:val="00AB7129"/>
    <w:rsid w:val="00AC27A6"/>
    <w:rsid w:val="00AC30F7"/>
    <w:rsid w:val="00AC3A5A"/>
    <w:rsid w:val="00AC4D95"/>
    <w:rsid w:val="00AC5DF4"/>
    <w:rsid w:val="00AD049B"/>
    <w:rsid w:val="00AD0AEF"/>
    <w:rsid w:val="00AD11B7"/>
    <w:rsid w:val="00AD1A94"/>
    <w:rsid w:val="00AD1C05"/>
    <w:rsid w:val="00AD4126"/>
    <w:rsid w:val="00AD421C"/>
    <w:rsid w:val="00AD44FA"/>
    <w:rsid w:val="00AE070A"/>
    <w:rsid w:val="00AE101C"/>
    <w:rsid w:val="00AE101D"/>
    <w:rsid w:val="00AE2A69"/>
    <w:rsid w:val="00AE37E5"/>
    <w:rsid w:val="00AE5EB4"/>
    <w:rsid w:val="00AF0C18"/>
    <w:rsid w:val="00AF2C72"/>
    <w:rsid w:val="00AF47C5"/>
    <w:rsid w:val="00AF5398"/>
    <w:rsid w:val="00B01763"/>
    <w:rsid w:val="00B0442B"/>
    <w:rsid w:val="00B049AF"/>
    <w:rsid w:val="00B07242"/>
    <w:rsid w:val="00B10534"/>
    <w:rsid w:val="00B113DB"/>
    <w:rsid w:val="00B11D8A"/>
    <w:rsid w:val="00B12981"/>
    <w:rsid w:val="00B147DD"/>
    <w:rsid w:val="00B1565A"/>
    <w:rsid w:val="00B156FD"/>
    <w:rsid w:val="00B21F61"/>
    <w:rsid w:val="00B261F1"/>
    <w:rsid w:val="00B265BC"/>
    <w:rsid w:val="00B31FB1"/>
    <w:rsid w:val="00B33913"/>
    <w:rsid w:val="00B33952"/>
    <w:rsid w:val="00B33C5E"/>
    <w:rsid w:val="00B342F4"/>
    <w:rsid w:val="00B34369"/>
    <w:rsid w:val="00B34DC2"/>
    <w:rsid w:val="00B378E5"/>
    <w:rsid w:val="00B4007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F7E"/>
    <w:rsid w:val="00B75739"/>
    <w:rsid w:val="00B758BF"/>
    <w:rsid w:val="00B77EC8"/>
    <w:rsid w:val="00B827A6"/>
    <w:rsid w:val="00B831CE"/>
    <w:rsid w:val="00B86677"/>
    <w:rsid w:val="00B87131"/>
    <w:rsid w:val="00B871BC"/>
    <w:rsid w:val="00B939B1"/>
    <w:rsid w:val="00B96D40"/>
    <w:rsid w:val="00B97386"/>
    <w:rsid w:val="00BA1729"/>
    <w:rsid w:val="00BA263B"/>
    <w:rsid w:val="00BA42B2"/>
    <w:rsid w:val="00BA58D4"/>
    <w:rsid w:val="00BA5B9E"/>
    <w:rsid w:val="00BA67B4"/>
    <w:rsid w:val="00BA7C9A"/>
    <w:rsid w:val="00BB5F8F"/>
    <w:rsid w:val="00BB657A"/>
    <w:rsid w:val="00BB7923"/>
    <w:rsid w:val="00BC1A4E"/>
    <w:rsid w:val="00BC5DC7"/>
    <w:rsid w:val="00BC6B8B"/>
    <w:rsid w:val="00BC73D8"/>
    <w:rsid w:val="00BD52D7"/>
    <w:rsid w:val="00BD5AD2"/>
    <w:rsid w:val="00BE22F3"/>
    <w:rsid w:val="00BE5B52"/>
    <w:rsid w:val="00BE5C20"/>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6DA"/>
    <w:rsid w:val="00C24C8D"/>
    <w:rsid w:val="00C25FE2"/>
    <w:rsid w:val="00C26B53"/>
    <w:rsid w:val="00C279B2"/>
    <w:rsid w:val="00C33E50"/>
    <w:rsid w:val="00C34C20"/>
    <w:rsid w:val="00C35A3E"/>
    <w:rsid w:val="00C41CC9"/>
    <w:rsid w:val="00C42130"/>
    <w:rsid w:val="00C423A4"/>
    <w:rsid w:val="00C423E3"/>
    <w:rsid w:val="00C44BF5"/>
    <w:rsid w:val="00C521D6"/>
    <w:rsid w:val="00C53A3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1CD"/>
    <w:rsid w:val="00C84E33"/>
    <w:rsid w:val="00C86D6F"/>
    <w:rsid w:val="00C905FC"/>
    <w:rsid w:val="00C92D03"/>
    <w:rsid w:val="00C9319C"/>
    <w:rsid w:val="00C936C4"/>
    <w:rsid w:val="00C93E29"/>
    <w:rsid w:val="00C9435D"/>
    <w:rsid w:val="00C94DF2"/>
    <w:rsid w:val="00C96741"/>
    <w:rsid w:val="00CA2D1B"/>
    <w:rsid w:val="00CA375D"/>
    <w:rsid w:val="00CA662A"/>
    <w:rsid w:val="00CA787D"/>
    <w:rsid w:val="00CA7AFD"/>
    <w:rsid w:val="00CA7C3C"/>
    <w:rsid w:val="00CA7EE5"/>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FAA"/>
    <w:rsid w:val="00CE0C4F"/>
    <w:rsid w:val="00CE1B87"/>
    <w:rsid w:val="00CE23A4"/>
    <w:rsid w:val="00CE30EA"/>
    <w:rsid w:val="00CF048A"/>
    <w:rsid w:val="00CF155A"/>
    <w:rsid w:val="00CF2947"/>
    <w:rsid w:val="00CF6361"/>
    <w:rsid w:val="00CF686F"/>
    <w:rsid w:val="00CF6E60"/>
    <w:rsid w:val="00CF7BCA"/>
    <w:rsid w:val="00D008FD"/>
    <w:rsid w:val="00D0321C"/>
    <w:rsid w:val="00D035EC"/>
    <w:rsid w:val="00D06AB1"/>
    <w:rsid w:val="00D06FC1"/>
    <w:rsid w:val="00D072ED"/>
    <w:rsid w:val="00D07A16"/>
    <w:rsid w:val="00D07CFF"/>
    <w:rsid w:val="00D1067E"/>
    <w:rsid w:val="00D10F50"/>
    <w:rsid w:val="00D111D3"/>
    <w:rsid w:val="00D11272"/>
    <w:rsid w:val="00D11CED"/>
    <w:rsid w:val="00D126F5"/>
    <w:rsid w:val="00D1489E"/>
    <w:rsid w:val="00D20737"/>
    <w:rsid w:val="00D21E81"/>
    <w:rsid w:val="00D223DE"/>
    <w:rsid w:val="00D25E37"/>
    <w:rsid w:val="00D2661A"/>
    <w:rsid w:val="00D27582"/>
    <w:rsid w:val="00D27EC4"/>
    <w:rsid w:val="00D32719"/>
    <w:rsid w:val="00D33333"/>
    <w:rsid w:val="00D352A2"/>
    <w:rsid w:val="00D406D3"/>
    <w:rsid w:val="00D4162B"/>
    <w:rsid w:val="00D4514F"/>
    <w:rsid w:val="00D451E2"/>
    <w:rsid w:val="00D45E89"/>
    <w:rsid w:val="00D45E8D"/>
    <w:rsid w:val="00D466AE"/>
    <w:rsid w:val="00D4734F"/>
    <w:rsid w:val="00D51BF3"/>
    <w:rsid w:val="00D6683A"/>
    <w:rsid w:val="00D66846"/>
    <w:rsid w:val="00D675FB"/>
    <w:rsid w:val="00D71F25"/>
    <w:rsid w:val="00D72019"/>
    <w:rsid w:val="00D72A9C"/>
    <w:rsid w:val="00D75C17"/>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A97"/>
    <w:rsid w:val="00DD00FF"/>
    <w:rsid w:val="00DD0619"/>
    <w:rsid w:val="00DD07FB"/>
    <w:rsid w:val="00DD25C6"/>
    <w:rsid w:val="00DD4FE5"/>
    <w:rsid w:val="00DD54B0"/>
    <w:rsid w:val="00DD57EE"/>
    <w:rsid w:val="00DD6BCC"/>
    <w:rsid w:val="00DE0A4B"/>
    <w:rsid w:val="00DE2410"/>
    <w:rsid w:val="00DE2939"/>
    <w:rsid w:val="00DE6C19"/>
    <w:rsid w:val="00DE6E81"/>
    <w:rsid w:val="00DE703F"/>
    <w:rsid w:val="00DE7595"/>
    <w:rsid w:val="00DF1961"/>
    <w:rsid w:val="00DF44DE"/>
    <w:rsid w:val="00E01138"/>
    <w:rsid w:val="00E02DFB"/>
    <w:rsid w:val="00E030F9"/>
    <w:rsid w:val="00E0311A"/>
    <w:rsid w:val="00E03138"/>
    <w:rsid w:val="00E06404"/>
    <w:rsid w:val="00E11284"/>
    <w:rsid w:val="00E11A85"/>
    <w:rsid w:val="00E12495"/>
    <w:rsid w:val="00E15CCD"/>
    <w:rsid w:val="00E16F7D"/>
    <w:rsid w:val="00E202EF"/>
    <w:rsid w:val="00E210B5"/>
    <w:rsid w:val="00E2552F"/>
    <w:rsid w:val="00E3137A"/>
    <w:rsid w:val="00E32CCF"/>
    <w:rsid w:val="00E33ECE"/>
    <w:rsid w:val="00E34A98"/>
    <w:rsid w:val="00E35D1E"/>
    <w:rsid w:val="00E364F9"/>
    <w:rsid w:val="00E365FA"/>
    <w:rsid w:val="00E36789"/>
    <w:rsid w:val="00E36D82"/>
    <w:rsid w:val="00E37537"/>
    <w:rsid w:val="00E413BD"/>
    <w:rsid w:val="00E43D0B"/>
    <w:rsid w:val="00E44A83"/>
    <w:rsid w:val="00E502C1"/>
    <w:rsid w:val="00E502DD"/>
    <w:rsid w:val="00E50409"/>
    <w:rsid w:val="00E507C4"/>
    <w:rsid w:val="00E50D3A"/>
    <w:rsid w:val="00E51387"/>
    <w:rsid w:val="00E51E68"/>
    <w:rsid w:val="00E52EFD"/>
    <w:rsid w:val="00E5408A"/>
    <w:rsid w:val="00E56800"/>
    <w:rsid w:val="00E60C63"/>
    <w:rsid w:val="00E62FF9"/>
    <w:rsid w:val="00E635D6"/>
    <w:rsid w:val="00E639BC"/>
    <w:rsid w:val="00E664CC"/>
    <w:rsid w:val="00E70388"/>
    <w:rsid w:val="00E70E60"/>
    <w:rsid w:val="00E70F92"/>
    <w:rsid w:val="00E71696"/>
    <w:rsid w:val="00E74313"/>
    <w:rsid w:val="00E74C54"/>
    <w:rsid w:val="00E77A03"/>
    <w:rsid w:val="00E822E8"/>
    <w:rsid w:val="00E82554"/>
    <w:rsid w:val="00E82606"/>
    <w:rsid w:val="00E831C1"/>
    <w:rsid w:val="00E83688"/>
    <w:rsid w:val="00E846C8"/>
    <w:rsid w:val="00E84957"/>
    <w:rsid w:val="00E84A55"/>
    <w:rsid w:val="00E85BFF"/>
    <w:rsid w:val="00E90391"/>
    <w:rsid w:val="00E906C2"/>
    <w:rsid w:val="00E9179E"/>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F02"/>
    <w:rsid w:val="00EC5359"/>
    <w:rsid w:val="00EC562A"/>
    <w:rsid w:val="00ED067A"/>
    <w:rsid w:val="00ED2B50"/>
    <w:rsid w:val="00ED7351"/>
    <w:rsid w:val="00EE0350"/>
    <w:rsid w:val="00EE0719"/>
    <w:rsid w:val="00EE0D5A"/>
    <w:rsid w:val="00EE0E80"/>
    <w:rsid w:val="00EE613F"/>
    <w:rsid w:val="00EE7295"/>
    <w:rsid w:val="00EE7869"/>
    <w:rsid w:val="00EF054A"/>
    <w:rsid w:val="00EF3235"/>
    <w:rsid w:val="00EF4AA6"/>
    <w:rsid w:val="00EF7E72"/>
    <w:rsid w:val="00F02B05"/>
    <w:rsid w:val="00F06D37"/>
    <w:rsid w:val="00F07B9D"/>
    <w:rsid w:val="00F11586"/>
    <w:rsid w:val="00F1183B"/>
    <w:rsid w:val="00F11C9F"/>
    <w:rsid w:val="00F12263"/>
    <w:rsid w:val="00F12785"/>
    <w:rsid w:val="00F1409D"/>
    <w:rsid w:val="00F14214"/>
    <w:rsid w:val="00F157A9"/>
    <w:rsid w:val="00F16F00"/>
    <w:rsid w:val="00F25BB6"/>
    <w:rsid w:val="00F26B7E"/>
    <w:rsid w:val="00F27A3B"/>
    <w:rsid w:val="00F32780"/>
    <w:rsid w:val="00F33817"/>
    <w:rsid w:val="00F340FE"/>
    <w:rsid w:val="00F379A9"/>
    <w:rsid w:val="00F41AA7"/>
    <w:rsid w:val="00F41D3F"/>
    <w:rsid w:val="00F420D5"/>
    <w:rsid w:val="00F451EA"/>
    <w:rsid w:val="00F45447"/>
    <w:rsid w:val="00F456C6"/>
    <w:rsid w:val="00F4577B"/>
    <w:rsid w:val="00F45ED8"/>
    <w:rsid w:val="00F46496"/>
    <w:rsid w:val="00F46A7C"/>
    <w:rsid w:val="00F474D0"/>
    <w:rsid w:val="00F50179"/>
    <w:rsid w:val="00F515EE"/>
    <w:rsid w:val="00F561A5"/>
    <w:rsid w:val="00F56511"/>
    <w:rsid w:val="00F6194E"/>
    <w:rsid w:val="00F623AC"/>
    <w:rsid w:val="00F6412A"/>
    <w:rsid w:val="00F65893"/>
    <w:rsid w:val="00F66A4A"/>
    <w:rsid w:val="00F6700B"/>
    <w:rsid w:val="00F70C48"/>
    <w:rsid w:val="00F71E22"/>
    <w:rsid w:val="00F72142"/>
    <w:rsid w:val="00F72AE7"/>
    <w:rsid w:val="00F76AB1"/>
    <w:rsid w:val="00F833BA"/>
    <w:rsid w:val="00F84FD0"/>
    <w:rsid w:val="00F859A8"/>
    <w:rsid w:val="00F86D87"/>
    <w:rsid w:val="00F9108B"/>
    <w:rsid w:val="00F91349"/>
    <w:rsid w:val="00F93A8A"/>
    <w:rsid w:val="00F94EE7"/>
    <w:rsid w:val="00F95248"/>
    <w:rsid w:val="00F956A9"/>
    <w:rsid w:val="00F963ED"/>
    <w:rsid w:val="00F966CF"/>
    <w:rsid w:val="00F96CAE"/>
    <w:rsid w:val="00F97C99"/>
    <w:rsid w:val="00F97DDE"/>
    <w:rsid w:val="00FA662D"/>
    <w:rsid w:val="00FA73B1"/>
    <w:rsid w:val="00FB0CB9"/>
    <w:rsid w:val="00FB231D"/>
    <w:rsid w:val="00FB45F1"/>
    <w:rsid w:val="00FB4A72"/>
    <w:rsid w:val="00FB54E8"/>
    <w:rsid w:val="00FB5B18"/>
    <w:rsid w:val="00FB7054"/>
    <w:rsid w:val="00FC17B7"/>
    <w:rsid w:val="00FC2A4E"/>
    <w:rsid w:val="00FC2CB7"/>
    <w:rsid w:val="00FC397D"/>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C723A"/>
    <w:rsid w:val="04122666"/>
    <w:rsid w:val="077611A1"/>
    <w:rsid w:val="085A6948"/>
    <w:rsid w:val="087B7D1C"/>
    <w:rsid w:val="096268F2"/>
    <w:rsid w:val="0A9A6B7F"/>
    <w:rsid w:val="0D134413"/>
    <w:rsid w:val="0E325320"/>
    <w:rsid w:val="0E7579E7"/>
    <w:rsid w:val="13D767BD"/>
    <w:rsid w:val="19F31E08"/>
    <w:rsid w:val="1AC45552"/>
    <w:rsid w:val="24481737"/>
    <w:rsid w:val="254A5B89"/>
    <w:rsid w:val="27937522"/>
    <w:rsid w:val="2A256D9D"/>
    <w:rsid w:val="2BA81518"/>
    <w:rsid w:val="2C050BB5"/>
    <w:rsid w:val="2F205773"/>
    <w:rsid w:val="2F49673C"/>
    <w:rsid w:val="324B1BC8"/>
    <w:rsid w:val="34D6485D"/>
    <w:rsid w:val="39422E3C"/>
    <w:rsid w:val="3A744447"/>
    <w:rsid w:val="3C0B0DDB"/>
    <w:rsid w:val="3CFC270A"/>
    <w:rsid w:val="3D45031D"/>
    <w:rsid w:val="3DE2548C"/>
    <w:rsid w:val="3F830C89"/>
    <w:rsid w:val="409A4D7F"/>
    <w:rsid w:val="40FE68E4"/>
    <w:rsid w:val="42761CB9"/>
    <w:rsid w:val="443864E5"/>
    <w:rsid w:val="47C51BA0"/>
    <w:rsid w:val="4A0919DC"/>
    <w:rsid w:val="4C414E71"/>
    <w:rsid w:val="4D1E0B4A"/>
    <w:rsid w:val="52997991"/>
    <w:rsid w:val="533C1091"/>
    <w:rsid w:val="534C54BD"/>
    <w:rsid w:val="57B57786"/>
    <w:rsid w:val="57F4051E"/>
    <w:rsid w:val="5EA8249B"/>
    <w:rsid w:val="5FE447F9"/>
    <w:rsid w:val="644B5969"/>
    <w:rsid w:val="67232083"/>
    <w:rsid w:val="6A0E546F"/>
    <w:rsid w:val="6C557385"/>
    <w:rsid w:val="716550A8"/>
    <w:rsid w:val="74911998"/>
    <w:rsid w:val="7500772E"/>
    <w:rsid w:val="7C763102"/>
    <w:rsid w:val="7C94283A"/>
    <w:rsid w:val="7D16617C"/>
    <w:rsid w:val="7EA71E69"/>
    <w:rsid w:val="7F576E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hint="eastAsia" w:ascii="宋体" w:hAnsi="Times New Roman" w:eastAsia="宋体" w:cs="宋体"/>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8"/>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numPr>
        <w:ilvl w:val="4"/>
        <w:numId w:val="1"/>
      </w:numPr>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numPr>
        <w:ilvl w:val="5"/>
        <w:numId w:val="1"/>
      </w:numPr>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numPr>
        <w:ilvl w:val="6"/>
        <w:numId w:val="1"/>
      </w:numPr>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numPr>
        <w:ilvl w:val="7"/>
        <w:numId w:val="1"/>
      </w:numPr>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numPr>
        <w:ilvl w:val="8"/>
        <w:numId w:val="1"/>
      </w:numPr>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spacing w:line="300" w:lineRule="exact"/>
      <w:ind w:left="839"/>
    </w:pPr>
    <w:rPr>
      <w:rFonts w:hAnsi="宋体"/>
    </w:rPr>
  </w:style>
  <w:style w:type="paragraph" w:styleId="16">
    <w:name w:val="toc 3"/>
    <w:basedOn w:val="1"/>
    <w:next w:val="1"/>
    <w:unhideWhenUsed/>
    <w:qFormat/>
    <w:uiPriority w:val="39"/>
    <w:pPr>
      <w:spacing w:line="300" w:lineRule="exact"/>
      <w:ind w:left="420"/>
    </w:pPr>
    <w:rPr>
      <w:rFonts w:hAns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jc w:val="right"/>
    </w:pPr>
    <w:rPr>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pPr>
      <w:spacing w:line="400" w:lineRule="exact"/>
    </w:pPr>
    <w:rPr>
      <w:rFonts w:hAnsi="宋体"/>
    </w:rPr>
  </w:style>
  <w:style w:type="paragraph" w:styleId="21">
    <w:name w:val="toc 4"/>
    <w:basedOn w:val="1"/>
    <w:next w:val="1"/>
    <w:unhideWhenUsed/>
    <w:qFormat/>
    <w:uiPriority w:val="39"/>
    <w:pPr>
      <w:tabs>
        <w:tab w:val="right" w:leader="dot" w:pos="9344"/>
      </w:tabs>
      <w:spacing w:line="300" w:lineRule="exact"/>
      <w:ind w:left="629"/>
    </w:pPr>
    <w:rPr>
      <w:rFonts w:hAnsi="宋体"/>
    </w:rPr>
  </w:style>
  <w:style w:type="paragraph" w:styleId="22">
    <w:name w:val="footnote text"/>
    <w:basedOn w:val="1"/>
    <w:next w:val="1"/>
    <w:link w:val="100"/>
    <w:semiHidden/>
    <w:qFormat/>
    <w:uiPriority w:val="0"/>
    <w:pPr>
      <w:widowControl/>
      <w:numPr>
        <w:ilvl w:val="0"/>
        <w:numId w:val="2"/>
      </w:numPr>
      <w:autoSpaceDE w:val="0"/>
      <w:autoSpaceDN w:val="0"/>
      <w:adjustRightInd/>
      <w:ind w:left="840" w:leftChars="200" w:hanging="420" w:hangingChars="200"/>
    </w:pPr>
    <w:rPr>
      <w:rFonts w:hAnsi="宋体"/>
      <w:sz w:val="15"/>
      <w:szCs w:val="18"/>
    </w:rPr>
  </w:style>
  <w:style w:type="paragraph" w:styleId="23">
    <w:name w:val="toc 6"/>
    <w:basedOn w:val="1"/>
    <w:next w:val="1"/>
    <w:unhideWhenUsed/>
    <w:qFormat/>
    <w:uiPriority w:val="39"/>
    <w:pPr>
      <w:spacing w:line="300" w:lineRule="exact"/>
      <w:ind w:left="1049"/>
    </w:pPr>
    <w:rPr>
      <w:rFonts w:hAnsi="宋体"/>
    </w:rPr>
  </w:style>
  <w:style w:type="paragraph" w:styleId="24">
    <w:name w:val="table of figures"/>
    <w:basedOn w:val="1"/>
    <w:next w:val="1"/>
    <w:semiHidden/>
    <w:qFormat/>
    <w:uiPriority w:val="0"/>
    <w:pPr>
      <w:adjustRightInd/>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hAns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hint="eastAsia" w:ascii="宋体" w:hAnsi="宋体" w:eastAsia="宋体" w:cs="宋体"/>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546" w:h="1134" w:hRule="exact" w:hSpace="181" w:wrap="around" w:vAnchor="margin" w:hAnchor="margin" w:x="6521" w:y="421" w:anchorLock="1"/>
      <w:shd w:val="clear" w:color="FFFFFF" w:fill="FFFFFF"/>
      <w:spacing w:line="0" w:lineRule="atLeast"/>
      <w:jc w:val="right"/>
    </w:pPr>
    <w:rPr>
      <w:rFonts w:hint="eastAsia" w:ascii="Times New Roman" w:hAnsi="Times New Roman" w:eastAsia="宋体" w:cs="Times New Roman"/>
      <w:b/>
      <w:w w:val="170"/>
      <w:sz w:val="96"/>
      <w:lang w:val="en-US" w:eastAsia="zh-CN" w:bidi="ar-SA"/>
    </w:rPr>
  </w:style>
  <w:style w:type="paragraph" w:customStyle="1" w:styleId="51">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bCs/>
      <w:w w:val="148"/>
      <w:sz w:val="48"/>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420" w:firstLineChars="200"/>
    </w:pPr>
    <w:rPr>
      <w:kern w:val="0"/>
    </w:rPr>
  </w:style>
  <w:style w:type="paragraph" w:customStyle="1" w:styleId="57">
    <w:name w:val="标准文件_段"/>
    <w:link w:val="185"/>
    <w:qFormat/>
    <w:uiPriority w:val="0"/>
    <w:pPr>
      <w:autoSpaceDE w:val="0"/>
      <w:autoSpaceDN w:val="0"/>
      <w:ind w:firstLine="420" w:firstLineChars="200"/>
      <w:jc w:val="both"/>
    </w:pPr>
    <w:rPr>
      <w:rFonts w:hint="eastAsia" w:ascii="宋体" w:hAnsi="Times New Roman" w:eastAsia="宋体" w:cs="宋体"/>
      <w:sz w:val="21"/>
      <w:lang w:val="en-US" w:eastAsia="zh-CN" w:bidi="ar-SA"/>
    </w:rPr>
  </w:style>
  <w:style w:type="paragraph" w:customStyle="1" w:styleId="58">
    <w:name w:val="标准文件_版本"/>
    <w:basedOn w:val="56"/>
    <w:qFormat/>
    <w:uiPriority w:val="0"/>
    <w:pPr>
      <w:adjustRightInd/>
      <w:snapToGrid/>
      <w:ind w:firstLine="0" w:firstLineChars="0"/>
    </w:pPr>
    <w:rPr>
      <w:rFonts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126" w:beforeLines="40" w:after="157" w:afterLines="50"/>
      <w:jc w:val="center"/>
      <w:outlineLvl w:val="0"/>
    </w:pPr>
    <w:rPr>
      <w:rFonts w:ascii="黑体" w:eastAsia="黑体" w:cs="黑体"/>
      <w:kern w:val="0"/>
    </w:rPr>
  </w:style>
  <w:style w:type="paragraph" w:customStyle="1" w:styleId="65">
    <w:name w:val="标准文件_参考文献条目"/>
    <w:qFormat/>
    <w:uiPriority w:val="0"/>
    <w:pPr>
      <w:numPr>
        <w:ilvl w:val="0"/>
        <w:numId w:val="3"/>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2"/>
        <w:numId w:val="4"/>
      </w:numPr>
      <w:spacing w:before="157" w:beforeLines="50" w:after="157" w:afterLines="50"/>
      <w:jc w:val="both"/>
      <w:outlineLvl w:val="2"/>
    </w:pPr>
    <w:rPr>
      <w:rFonts w:hint="eastAsia" w:ascii="黑体" w:hAnsi="黑体" w:eastAsia="黑体" w:cs="黑体"/>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5"/>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jc w:val="center"/>
    </w:pPr>
    <w:rPr>
      <w:rFonts w:ascii="黑体" w:eastAsia="黑体"/>
      <w:kern w:val="0"/>
      <w:sz w:val="52"/>
    </w:rPr>
  </w:style>
  <w:style w:type="paragraph" w:customStyle="1" w:styleId="72">
    <w:name w:val="标准文件_封面标准英文名称"/>
    <w:basedOn w:val="1"/>
    <w:qFormat/>
    <w:uiPriority w:val="0"/>
    <w:pPr>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basedOn w:val="1"/>
    <w:next w:val="57"/>
    <w:qFormat/>
    <w:uiPriority w:val="0"/>
    <w:pPr>
      <w:widowControl/>
      <w:numPr>
        <w:ilvl w:val="0"/>
        <w:numId w:val="6"/>
      </w:numPr>
      <w:shd w:val="clear" w:color="FFFFFF" w:fill="FFFFFF"/>
      <w:tabs>
        <w:tab w:val="left" w:pos="6406"/>
      </w:tabs>
      <w:adjustRightInd/>
      <w:spacing w:before="79" w:beforeLines="25" w:after="157" w:afterLines="50"/>
      <w:jc w:val="center"/>
      <w:outlineLvl w:val="0"/>
    </w:pPr>
    <w:rPr>
      <w:rFonts w:ascii="黑体" w:hAnsi="黑体" w:eastAsia="黑体" w:cs="黑体"/>
    </w:rPr>
  </w:style>
  <w:style w:type="paragraph" w:customStyle="1" w:styleId="78">
    <w:name w:val="标准文件_附录表标题"/>
    <w:next w:val="57"/>
    <w:qFormat/>
    <w:uiPriority w:val="0"/>
    <w:pPr>
      <w:numPr>
        <w:ilvl w:val="1"/>
        <w:numId w:val="7"/>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6"/>
      </w:numPr>
      <w:spacing w:before="157" w:beforeLines="50" w:after="157" w:afterLines="50"/>
      <w:jc w:val="both"/>
      <w:outlineLvl w:val="2"/>
    </w:pPr>
    <w:rPr>
      <w:rFonts w:hint="eastAsia" w:ascii="黑体" w:hAnsi="黑体" w:eastAsia="黑体" w:cs="黑体"/>
      <w:kern w:val="21"/>
      <w:sz w:val="21"/>
      <w:lang w:val="en-US" w:eastAsia="zh-CN" w:bidi="ar-SA"/>
    </w:rPr>
  </w:style>
  <w:style w:type="paragraph" w:customStyle="1" w:styleId="80">
    <w:name w:val="标准文件_附录二级条标题"/>
    <w:next w:val="57"/>
    <w:qFormat/>
    <w:uiPriority w:val="0"/>
    <w:pPr>
      <w:numPr>
        <w:ilvl w:val="2"/>
        <w:numId w:val="6"/>
      </w:numPr>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81">
    <w:name w:val="标准文件_附录公式"/>
    <w:basedOn w:val="56"/>
    <w:next w:val="56"/>
    <w:qFormat/>
    <w:uiPriority w:val="0"/>
    <w:pPr>
      <w:tabs>
        <w:tab w:val="center" w:pos="4678"/>
        <w:tab w:val="right" w:leader="middleDot" w:pos="9356"/>
      </w:tabs>
      <w:ind w:right="-51" w:firstLine="0" w:firstLineChars="0"/>
    </w:pPr>
    <w:rPr>
      <w:rFonts w:hAnsi="宋体"/>
    </w:rPr>
  </w:style>
  <w:style w:type="paragraph" w:customStyle="1" w:styleId="82">
    <w:name w:val="标准文件_附录三级条标题"/>
    <w:next w:val="57"/>
    <w:qFormat/>
    <w:uiPriority w:val="0"/>
    <w:pPr>
      <w:widowControl w:val="0"/>
      <w:numPr>
        <w:ilvl w:val="3"/>
        <w:numId w:val="6"/>
      </w:numPr>
      <w:spacing w:before="157" w:beforeLines="50" w:after="157" w:afterLines="50"/>
      <w:jc w:val="both"/>
      <w:outlineLvl w:val="2"/>
    </w:pPr>
    <w:rPr>
      <w:rFonts w:hint="eastAsia" w:ascii="黑体" w:hAnsi="黑体" w:eastAsia="黑体" w:cs="黑体"/>
      <w:kern w:val="21"/>
      <w:sz w:val="21"/>
      <w:lang w:val="en-US" w:eastAsia="zh-CN" w:bidi="ar-SA"/>
    </w:rPr>
  </w:style>
  <w:style w:type="paragraph" w:customStyle="1" w:styleId="83">
    <w:name w:val="标准文件_附录四级条标题"/>
    <w:next w:val="57"/>
    <w:qFormat/>
    <w:uiPriority w:val="0"/>
    <w:pPr>
      <w:widowControl w:val="0"/>
      <w:numPr>
        <w:ilvl w:val="4"/>
        <w:numId w:val="6"/>
      </w:numPr>
      <w:spacing w:before="157" w:beforeLines="50" w:after="157" w:afterLines="50"/>
      <w:jc w:val="both"/>
      <w:outlineLvl w:val="2"/>
    </w:pPr>
    <w:rPr>
      <w:rFonts w:hint="eastAsia" w:ascii="黑体" w:hAnsi="黑体" w:eastAsia="黑体" w:cs="黑体"/>
      <w:kern w:val="21"/>
      <w:sz w:val="21"/>
      <w:lang w:val="en-US" w:eastAsia="zh-CN" w:bidi="ar-SA"/>
    </w:rPr>
  </w:style>
  <w:style w:type="paragraph" w:customStyle="1" w:styleId="84">
    <w:name w:val="标准文件_附录图标题"/>
    <w:next w:val="57"/>
    <w:qFormat/>
    <w:uiPriority w:val="0"/>
    <w:pPr>
      <w:numPr>
        <w:ilvl w:val="1"/>
        <w:numId w:val="8"/>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6"/>
      </w:numPr>
      <w:spacing w:before="157" w:beforeLines="50" w:after="157" w:afterLines="50"/>
      <w:jc w:val="both"/>
      <w:outlineLvl w:val="2"/>
    </w:pPr>
    <w:rPr>
      <w:rFonts w:hint="eastAsia" w:ascii="黑体" w:hAnsi="黑体" w:eastAsia="黑体" w:cs="黑体"/>
      <w:kern w:val="21"/>
      <w:sz w:val="21"/>
      <w:lang w:val="en-US" w:eastAsia="zh-CN" w:bidi="ar-SA"/>
    </w:rPr>
  </w:style>
  <w:style w:type="paragraph" w:customStyle="1" w:styleId="86">
    <w:name w:val="标准文件_附录英文标识"/>
    <w:next w:val="14"/>
    <w:qFormat/>
    <w:uiPriority w:val="0"/>
    <w:pPr>
      <w:numPr>
        <w:ilvl w:val="0"/>
        <w:numId w:val="9"/>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10"/>
      </w:numPr>
      <w:shd w:val="clear" w:color="FFFFFF" w:fill="FFFFFF"/>
      <w:spacing w:after="469" w:afterLines="150"/>
      <w:jc w:val="center"/>
      <w:outlineLvl w:val="0"/>
    </w:pPr>
    <w:rPr>
      <w:rFonts w:hint="eastAsia" w:ascii="黑体" w:hAnsi="Times New Roman" w:eastAsia="黑体" w:cs="黑体"/>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hd w:val="clear" w:color="auto" w:fill="FFFFFF"/>
      <w:spacing w:after="469" w:afterLines="150"/>
      <w:jc w:val="center"/>
    </w:pPr>
    <w:rPr>
      <w:rFonts w:ascii="黑体" w:eastAsia="黑体" w:cs="黑体"/>
      <w:kern w:val="0"/>
      <w:sz w:val="32"/>
    </w:rPr>
  </w:style>
  <w:style w:type="paragraph" w:customStyle="1" w:styleId="93">
    <w:name w:val="标准文件_破折号列项"/>
    <w:qFormat/>
    <w:uiPriority w:val="0"/>
    <w:pPr>
      <w:numPr>
        <w:ilvl w:val="0"/>
        <w:numId w:val="11"/>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2"/>
      </w:numPr>
    </w:pPr>
  </w:style>
  <w:style w:type="paragraph" w:customStyle="1" w:styleId="95">
    <w:name w:val="标准文件_三级条标题"/>
    <w:basedOn w:val="66"/>
    <w:next w:val="57"/>
    <w:qFormat/>
    <w:uiPriority w:val="0"/>
    <w:pPr>
      <w:widowControl/>
      <w:numPr>
        <w:ilvl w:val="3"/>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ind w:firstLine="200" w:firstLineChars="200"/>
    </w:pPr>
    <w:rPr>
      <w:sz w:val="18"/>
      <w:szCs w:val="24"/>
    </w:rPr>
  </w:style>
  <w:style w:type="paragraph" w:customStyle="1" w:styleId="98">
    <w:name w:val="标准文件_数字编号列项"/>
    <w:qFormat/>
    <w:uiPriority w:val="0"/>
    <w:pPr>
      <w:numPr>
        <w:ilvl w:val="0"/>
        <w:numId w:val="13"/>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4"/>
        <w:numId w:val="4"/>
      </w:numPr>
      <w:spacing w:before="157" w:beforeLines="50" w:after="157" w:afterLines="50"/>
      <w:jc w:val="both"/>
      <w:outlineLvl w:val="4"/>
    </w:pPr>
    <w:rPr>
      <w:rFonts w:hint="eastAsia" w:ascii="黑体" w:hAnsi="黑体" w:eastAsia="黑体" w:cs="黑体"/>
      <w:sz w:val="21"/>
      <w:lang w:val="en-US" w:eastAsia="zh-CN" w:bidi="ar-SA"/>
    </w:rPr>
  </w:style>
  <w:style w:type="character" w:customStyle="1" w:styleId="100">
    <w:name w:val="脚注文本 字符"/>
    <w:link w:val="22"/>
    <w:semiHidden/>
    <w:qFormat/>
    <w:uiPriority w:val="0"/>
    <w:rPr>
      <w:rFonts w:ascii="宋体" w:hAnsi="宋体"/>
      <w:kern w:val="2"/>
      <w:sz w:val="15"/>
      <w:szCs w:val="18"/>
    </w:rPr>
  </w:style>
  <w:style w:type="paragraph" w:customStyle="1" w:styleId="101">
    <w:name w:val="标准文件_条文脚注"/>
    <w:basedOn w:val="22"/>
    <w:qFormat/>
    <w:uiPriority w:val="0"/>
    <w:pPr>
      <w:adjustRightInd w:val="0"/>
      <w:ind w:left="0" w:leftChars="0" w:firstLine="200" w:firstLineChars="200"/>
    </w:pPr>
  </w:style>
  <w:style w:type="paragraph" w:customStyle="1" w:styleId="102">
    <w:name w:val="标准文件_图表脚注"/>
    <w:basedOn w:val="1"/>
    <w:next w:val="57"/>
    <w:qFormat/>
    <w:uiPriority w:val="0"/>
    <w:pPr>
      <w:numPr>
        <w:ilvl w:val="0"/>
        <w:numId w:val="14"/>
      </w:numPr>
      <w:jc w:val="left"/>
    </w:pPr>
    <w:rPr>
      <w:rFonts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5"/>
        <w:numId w:val="4"/>
      </w:numPr>
      <w:spacing w:before="157" w:beforeLines="50" w:after="157" w:afterLines="50"/>
      <w:jc w:val="both"/>
      <w:outlineLvl w:val="4"/>
    </w:pPr>
    <w:rPr>
      <w:rFonts w:hint="eastAsia" w:ascii="黑体" w:hAnsi="黑体" w:eastAsia="黑体" w:cs="黑体"/>
      <w:sz w:val="21"/>
      <w:lang w:val="en-US" w:eastAsia="zh-CN" w:bidi="ar-SA"/>
    </w:rPr>
  </w:style>
  <w:style w:type="paragraph" w:customStyle="1" w:styleId="105">
    <w:name w:val="标准文件_章标题"/>
    <w:next w:val="57"/>
    <w:qFormat/>
    <w:uiPriority w:val="0"/>
    <w:pPr>
      <w:numPr>
        <w:ilvl w:val="0"/>
        <w:numId w:val="4"/>
      </w:numPr>
      <w:spacing w:before="313" w:beforeLines="100" w:after="313" w:afterLines="100"/>
      <w:jc w:val="both"/>
      <w:outlineLvl w:val="0"/>
    </w:pPr>
    <w:rPr>
      <w:rFonts w:hint="eastAsia" w:ascii="黑体" w:hAnsi="Times New Roman" w:eastAsia="黑体" w:cs="黑体"/>
      <w:sz w:val="21"/>
      <w:lang w:val="en-US" w:eastAsia="zh-CN" w:bidi="ar-SA"/>
    </w:rPr>
  </w:style>
  <w:style w:type="paragraph" w:customStyle="1" w:styleId="106">
    <w:name w:val="标准文件_一级条标题"/>
    <w:basedOn w:val="105"/>
    <w:next w:val="57"/>
    <w:qFormat/>
    <w:uiPriority w:val="0"/>
    <w:pPr>
      <w:numPr>
        <w:ilvl w:val="1"/>
      </w:numPr>
      <w:spacing w:before="157" w:beforeLines="50" w:after="157"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ind w:left="79" w:hanging="79" w:hangingChars="80"/>
    </w:pPr>
    <w:rPr>
      <w:rFonts w:hAnsi="宋体"/>
    </w:rPr>
  </w:style>
  <w:style w:type="paragraph" w:customStyle="1" w:styleId="110">
    <w:name w:val="标准文件_数字编号列项（二级）"/>
    <w:next w:val="57"/>
    <w:qFormat/>
    <w:uiPriority w:val="0"/>
    <w:pPr>
      <w:numPr>
        <w:ilvl w:val="1"/>
        <w:numId w:val="15"/>
      </w:numPr>
      <w:tabs>
        <w:tab w:val="left" w:pos="1259"/>
        <w:tab w:val="clear" w:pos="1276"/>
      </w:tabs>
      <w:ind w:left="1259" w:hanging="419"/>
      <w:jc w:val="both"/>
    </w:pPr>
    <w:rPr>
      <w:rFonts w:hint="eastAsia"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6"/>
      </w:numPr>
      <w:tabs>
        <w:tab w:val="left" w:pos="420"/>
      </w:tabs>
      <w:autoSpaceDE w:val="0"/>
      <w:autoSpaceDN w:val="0"/>
    </w:pPr>
    <w:rPr>
      <w:rFonts w:hAnsi="宋体"/>
      <w:kern w:val="0"/>
      <w:sz w:val="18"/>
      <w:szCs w:val="20"/>
    </w:rPr>
  </w:style>
  <w:style w:type="paragraph" w:customStyle="1" w:styleId="112">
    <w:name w:val="标准文件_英文注×："/>
    <w:basedOn w:val="1"/>
    <w:qFormat/>
    <w:uiPriority w:val="0"/>
    <w:pPr>
      <w:numPr>
        <w:ilvl w:val="0"/>
        <w:numId w:val="17"/>
      </w:numPr>
      <w:tabs>
        <w:tab w:val="left" w:pos="210"/>
      </w:tabs>
      <w:autoSpaceDE w:val="0"/>
      <w:autoSpaceDN w:val="0"/>
    </w:pPr>
    <w:rPr>
      <w:rFonts w:hAnsi="宋体"/>
      <w:kern w:val="0"/>
      <w:szCs w:val="20"/>
    </w:rPr>
  </w:style>
  <w:style w:type="paragraph" w:customStyle="1" w:styleId="113">
    <w:name w:val="标准文件_正文表标题"/>
    <w:next w:val="57"/>
    <w:qFormat/>
    <w:uiPriority w:val="0"/>
    <w:pPr>
      <w:numPr>
        <w:ilvl w:val="0"/>
        <w:numId w:val="18"/>
      </w:numPr>
      <w:tabs>
        <w:tab w:val="left" w:pos="0"/>
        <w:tab w:val="clear" w:pos="539"/>
      </w:tabs>
      <w:spacing w:before="157" w:beforeLines="50" w:after="157" w:afterLines="50"/>
      <w:jc w:val="center"/>
    </w:pPr>
    <w:rPr>
      <w:rFonts w:hint="eastAsia" w:ascii="黑体" w:hAnsi="黑体" w:eastAsia="黑体" w:cs="黑体"/>
      <w:sz w:val="21"/>
      <w:lang w:val="en-US" w:eastAsia="zh-CN" w:bidi="ar-SA"/>
    </w:rPr>
  </w:style>
  <w:style w:type="paragraph" w:customStyle="1" w:styleId="114">
    <w:name w:val="标准文件_正文公式"/>
    <w:basedOn w:val="1"/>
    <w:next w:val="56"/>
    <w:qFormat/>
    <w:uiPriority w:val="0"/>
    <w:pPr>
      <w:tabs>
        <w:tab w:val="center" w:pos="4678"/>
        <w:tab w:val="right" w:leader="middleDot" w:pos="9355"/>
      </w:tabs>
    </w:pPr>
    <w:rPr>
      <w:rFonts w:hAnsi="宋体"/>
    </w:rPr>
  </w:style>
  <w:style w:type="paragraph" w:customStyle="1" w:styleId="115">
    <w:name w:val="标准文件_正文图标题"/>
    <w:next w:val="57"/>
    <w:qFormat/>
    <w:uiPriority w:val="0"/>
    <w:pPr>
      <w:numPr>
        <w:ilvl w:val="0"/>
        <w:numId w:val="19"/>
      </w:numPr>
      <w:spacing w:before="157" w:beforeLines="50" w:after="157" w:afterLines="50"/>
      <w:jc w:val="center"/>
    </w:pPr>
    <w:rPr>
      <w:rFonts w:hint="eastAsia" w:ascii="黑体" w:hAnsi="黑体" w:eastAsia="黑体" w:cs="黑体"/>
      <w:sz w:val="21"/>
      <w:lang w:val="en-US" w:eastAsia="zh-CN" w:bidi="ar-SA"/>
    </w:rPr>
  </w:style>
  <w:style w:type="paragraph" w:customStyle="1" w:styleId="116">
    <w:name w:val="标准文件_正文英文表标题"/>
    <w:next w:val="57"/>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21"/>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22"/>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3"/>
      </w:numPr>
      <w:adjustRightInd/>
    </w:pPr>
    <w:rPr>
      <w:rFonts w:hAnsi="宋体"/>
      <w:szCs w:val="24"/>
    </w:rPr>
  </w:style>
  <w:style w:type="paragraph" w:customStyle="1" w:styleId="120">
    <w:name w:val="发布部门"/>
    <w:next w:val="57"/>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b/>
      <w:spacing w:val="20"/>
      <w:w w:val="135"/>
      <w:sz w:val="28"/>
      <w:lang w:val="en-US" w:eastAsia="zh-CN" w:bidi="ar-SA"/>
    </w:rPr>
  </w:style>
  <w:style w:type="paragraph" w:customStyle="1" w:styleId="121">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lang w:val="en-US" w:eastAsia="zh-CN" w:bidi="ar-SA"/>
    </w:rPr>
  </w:style>
  <w:style w:type="paragraph" w:customStyle="1" w:styleId="122">
    <w:name w:val="封面标准代替信息"/>
    <w:qFormat/>
    <w:uiPriority w:val="0"/>
    <w:pPr>
      <w:framePr w:w="9355" w:h="624" w:hRule="exact" w:hSpace="181" w:vSpace="181" w:wrap="around" w:vAnchor="page" w:hAnchor="page" w:x="1419" w:y="3284"/>
      <w:kinsoku w:val="0"/>
      <w:overflowPunct w:val="0"/>
      <w:autoSpaceDE w:val="0"/>
      <w:autoSpaceDN w:val="0"/>
      <w:spacing w:before="57" w:line="280" w:lineRule="exact"/>
      <w:jc w:val="right"/>
      <w:textAlignment w:val="center"/>
    </w:pPr>
    <w:rPr>
      <w:rFonts w:hint="eastAsia" w:ascii="宋体" w:hAnsi="Times New Roman" w:eastAsia="宋体" w:cs="Times New Roman"/>
      <w:sz w:val="21"/>
      <w:lang w:val="en-US" w:eastAsia="zh-CN" w:bidi="ar-SA"/>
    </w:rPr>
  </w:style>
  <w:style w:type="paragraph" w:customStyle="1" w:styleId="123">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lang w:val="en-US" w:eastAsia="zh-CN" w:bidi="ar-SA"/>
    </w:rPr>
  </w:style>
  <w:style w:type="paragraph" w:customStyle="1" w:styleId="124">
    <w:name w:val="封面标准文稿编辑信息"/>
    <w:basedOn w:val="125"/>
    <w:qFormat/>
    <w:uiPriority w:val="0"/>
    <w:pPr>
      <w:framePr w:wrap="around"/>
      <w:spacing w:before="180" w:line="240" w:lineRule="atLeast"/>
    </w:pPr>
    <w:rPr>
      <w:rFonts w:hAnsi="Times New Roman" w:cs="Times New Roman"/>
      <w:sz w:val="21"/>
    </w:rPr>
  </w:style>
  <w:style w:type="paragraph" w:customStyle="1" w:styleId="125">
    <w:name w:val="封面标准文稿类别"/>
    <w:basedOn w:val="126"/>
    <w:qFormat/>
    <w:uiPriority w:val="0"/>
    <w:pPr>
      <w:framePr w:wrap="around"/>
      <w:spacing w:before="440" w:after="160" w:line="360" w:lineRule="exact"/>
    </w:pPr>
    <w:rPr>
      <w:rFonts w:ascii="宋体" w:hAnsi="宋体" w:cs="宋体"/>
      <w:sz w:val="24"/>
    </w:rPr>
  </w:style>
  <w:style w:type="paragraph" w:customStyle="1" w:styleId="126">
    <w:name w:val="封面一致性程度标识"/>
    <w:basedOn w:val="127"/>
    <w:qFormat/>
    <w:uiPriority w:val="0"/>
    <w:pPr>
      <w:framePr w:wrap="around"/>
      <w:spacing w:before="760" w:line="440" w:lineRule="exact"/>
    </w:pPr>
    <w:rPr>
      <w:rFonts w:eastAsia="宋体"/>
    </w:rPr>
  </w:style>
  <w:style w:type="paragraph" w:customStyle="1" w:styleId="127">
    <w:name w:val="封面标准英文名称"/>
    <w:basedOn w:val="123"/>
    <w:qFormat/>
    <w:uiPriority w:val="0"/>
    <w:pPr>
      <w:framePr w:wrap="around"/>
      <w:widowControl w:val="0"/>
      <w:spacing w:before="410" w:line="360" w:lineRule="exact"/>
      <w:textAlignment w:val="bottom"/>
    </w:pPr>
    <w:rPr>
      <w:rFonts w:ascii="Times New Roman"/>
      <w:sz w:val="28"/>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textAlignment w:val="baseline"/>
      <w:outlineLvl w:val="3"/>
    </w:pPr>
    <w:rPr>
      <w:rFonts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next w:val="57"/>
    <w:qFormat/>
    <w:uiPriority w:val="0"/>
    <w:pPr>
      <w:numPr>
        <w:ilvl w:val="0"/>
        <w:numId w:val="24"/>
      </w:numPr>
      <w:ind w:hanging="425"/>
    </w:pPr>
    <w:rPr>
      <w:rFonts w:hint="eastAsia" w:ascii="宋体" w:hAnsi="Times New Roman" w:eastAsia="宋体" w:cs="宋体"/>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5"/>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jc w:val="left"/>
    </w:pPr>
    <w:rPr>
      <w:bCs/>
      <w:iCs/>
    </w:rPr>
  </w:style>
  <w:style w:type="paragraph" w:customStyle="1" w:styleId="144">
    <w:name w:val="目录 31"/>
    <w:basedOn w:val="1"/>
    <w:next w:val="1"/>
    <w:semiHidden/>
    <w:qFormat/>
    <w:uiPriority w:val="0"/>
    <w:rPr>
      <w:rFonts w:hAnsi="宋体"/>
      <w:iCs/>
    </w:rPr>
  </w:style>
  <w:style w:type="paragraph" w:customStyle="1" w:styleId="145">
    <w:name w:val="目录 41"/>
    <w:basedOn w:val="1"/>
    <w:next w:val="1"/>
    <w:semiHidden/>
    <w:qFormat/>
    <w:uiPriority w:val="0"/>
    <w:pPr>
      <w:adjustRightInd/>
      <w:jc w:val="left"/>
    </w:pPr>
  </w:style>
  <w:style w:type="paragraph" w:customStyle="1" w:styleId="146">
    <w:name w:val="目录 51"/>
    <w:basedOn w:val="1"/>
    <w:next w:val="1"/>
    <w:semiHidden/>
    <w:qFormat/>
    <w:uiPriority w:val="0"/>
    <w:rPr>
      <w:rFonts w:hAnsi="宋体"/>
    </w:rPr>
  </w:style>
  <w:style w:type="paragraph" w:customStyle="1" w:styleId="147">
    <w:name w:val="目录 61"/>
    <w:basedOn w:val="1"/>
    <w:next w:val="1"/>
    <w:semiHidden/>
    <w:qFormat/>
    <w:uiPriority w:val="0"/>
    <w:pPr>
      <w:adjustRightInd/>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y="15310"/>
      <w:spacing w:line="0" w:lineRule="atLeast"/>
    </w:pPr>
    <w:rPr>
      <w:rFonts w:ascii="黑体" w:hAnsi="黑体" w:eastAsia="黑体" w:cs="黑体"/>
      <w:b w:val="0"/>
    </w:rPr>
  </w:style>
  <w:style w:type="paragraph" w:customStyle="1" w:styleId="153">
    <w:name w:val="前言标题"/>
    <w:next w:val="1"/>
    <w:qFormat/>
    <w:uiPriority w:val="0"/>
    <w:pPr>
      <w:numPr>
        <w:ilvl w:val="0"/>
        <w:numId w:val="26"/>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3"/>
      </w:numPr>
      <w:adjustRightInd/>
    </w:pPr>
    <w:rPr>
      <w:rFonts w:hAnsi="宋体"/>
      <w:szCs w:val="24"/>
    </w:rPr>
  </w:style>
  <w:style w:type="paragraph" w:customStyle="1" w:styleId="155">
    <w:name w:val="实施日期"/>
    <w:basedOn w:val="121"/>
    <w:qFormat/>
    <w:uiPriority w:val="0"/>
    <w:pPr>
      <w:framePr w:hSpace="0" w:wrap="around" w:vAnchor="page" w:hAnchor="text" w:x="7089" w:y="14176"/>
      <w:jc w:val="right"/>
    </w:pPr>
  </w:style>
  <w:style w:type="paragraph" w:customStyle="1" w:styleId="156">
    <w:name w:val="四级无标题条"/>
    <w:basedOn w:val="1"/>
    <w:qFormat/>
    <w:uiPriority w:val="0"/>
    <w:pPr>
      <w:numPr>
        <w:ilvl w:val="5"/>
        <w:numId w:val="23"/>
      </w:numPr>
      <w:adjustRightInd/>
    </w:pPr>
    <w:rPr>
      <w:rFonts w:hAnsi="宋体"/>
      <w:szCs w:val="24"/>
    </w:rPr>
  </w:style>
  <w:style w:type="paragraph" w:customStyle="1" w:styleId="157">
    <w:name w:val="文献分类号"/>
    <w:qFormat/>
    <w:uiPriority w:val="0"/>
    <w:pPr>
      <w:framePr w:wrap="around" w:vAnchor="page" w:hAnchor="page" w:x="1373" w:y="568"/>
      <w:widowControl w:val="0"/>
      <w:textAlignment w:val="center"/>
    </w:pPr>
    <w:rPr>
      <w:rFonts w:hint="eastAsia" w:ascii="Times New Roman" w:hAnsi="Times New Roman" w:eastAsia="黑体" w:cs="Times New Roman"/>
      <w:kern w:val="21"/>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3"/>
      </w:numPr>
      <w:adjustRightInd/>
    </w:pPr>
    <w:rPr>
      <w:szCs w:val="24"/>
    </w:rPr>
  </w:style>
  <w:style w:type="paragraph" w:customStyle="1" w:styleId="160">
    <w:name w:val="一级无标题条"/>
    <w:basedOn w:val="1"/>
    <w:qFormat/>
    <w:uiPriority w:val="0"/>
    <w:pPr>
      <w:numPr>
        <w:ilvl w:val="2"/>
        <w:numId w:val="23"/>
      </w:numPr>
      <w:adjustRightInd/>
      <w:spacing w:before="10" w:after="10"/>
    </w:pPr>
    <w:rPr>
      <w:rFonts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4" w:beforeLines="1" w:after="4" w:afterLines="1"/>
      <w:outlineLvl w:val="9"/>
    </w:pPr>
    <w:rPr>
      <w:rFonts w:ascii="宋体" w:hAnsi="宋体" w:eastAsia="宋体" w:cs="宋体"/>
    </w:rPr>
  </w:style>
  <w:style w:type="paragraph" w:customStyle="1" w:styleId="164">
    <w:name w:val="标准文件_五级无标题"/>
    <w:basedOn w:val="104"/>
    <w:qFormat/>
    <w:uiPriority w:val="0"/>
    <w:pPr>
      <w:spacing w:before="4" w:beforeLines="1" w:after="4" w:afterLines="1"/>
      <w:outlineLvl w:val="9"/>
    </w:pPr>
    <w:rPr>
      <w:rFonts w:ascii="宋体" w:hAnsi="宋体" w:eastAsia="宋体" w:cs="宋体"/>
    </w:rPr>
  </w:style>
  <w:style w:type="paragraph" w:customStyle="1" w:styleId="165">
    <w:name w:val="标准文件_三级无标题"/>
    <w:basedOn w:val="95"/>
    <w:qFormat/>
    <w:uiPriority w:val="0"/>
    <w:pPr>
      <w:spacing w:before="4" w:beforeLines="1" w:after="4" w:afterLines="1"/>
      <w:outlineLvl w:val="9"/>
    </w:pPr>
    <w:rPr>
      <w:rFonts w:ascii="宋体" w:hAnsi="宋体" w:eastAsia="宋体" w:cs="宋体"/>
    </w:rPr>
  </w:style>
  <w:style w:type="paragraph" w:customStyle="1" w:styleId="166">
    <w:name w:val="标准文件_二级无标题"/>
    <w:basedOn w:val="66"/>
    <w:qFormat/>
    <w:uiPriority w:val="0"/>
    <w:pPr>
      <w:spacing w:before="4" w:beforeLines="1" w:after="4" w:afterLines="1"/>
      <w:outlineLvl w:val="9"/>
    </w:pPr>
    <w:rPr>
      <w:rFonts w:ascii="宋体" w:hAnsi="宋体" w:eastAsia="宋体" w:cs="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4" w:beforeLines="1" w:after="4" w:afterLines="1"/>
      <w:outlineLvl w:val="9"/>
    </w:pPr>
    <w:rPr>
      <w:rFonts w:ascii="宋体" w:hAnsi="宋体" w:eastAsia="宋体" w:cs="宋体"/>
      <w:szCs w:val="52"/>
    </w:rPr>
  </w:style>
  <w:style w:type="paragraph" w:customStyle="1" w:styleId="169">
    <w:name w:val="标准文件_大写罗马数字编号列项"/>
    <w:basedOn w:val="57"/>
    <w:qFormat/>
    <w:uiPriority w:val="0"/>
    <w:pPr>
      <w:numPr>
        <w:ilvl w:val="0"/>
        <w:numId w:val="27"/>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8"/>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next w:val="57"/>
    <w:qFormat/>
    <w:uiPriority w:val="0"/>
    <w:pPr>
      <w:numPr>
        <w:ilvl w:val="2"/>
        <w:numId w:val="24"/>
      </w:numPr>
      <w:spacing w:line="300" w:lineRule="exact"/>
    </w:pPr>
    <w:rPr>
      <w:rFonts w:hAnsi="等线"/>
    </w:rPr>
  </w:style>
  <w:style w:type="paragraph" w:customStyle="1" w:styleId="174">
    <w:name w:val="图表脚注说明"/>
    <w:basedOn w:val="1"/>
    <w:next w:val="57"/>
    <w:qFormat/>
    <w:uiPriority w:val="0"/>
    <w:pPr>
      <w:numPr>
        <w:ilvl w:val="0"/>
        <w:numId w:val="29"/>
      </w:numPr>
      <w:adjustRightInd/>
    </w:pPr>
    <w:rPr>
      <w:sz w:val="18"/>
      <w:szCs w:val="18"/>
    </w:rPr>
  </w:style>
  <w:style w:type="paragraph" w:customStyle="1" w:styleId="175">
    <w:name w:val="标准文件_字母编号列项（一级）"/>
    <w:next w:val="57"/>
    <w:qFormat/>
    <w:uiPriority w:val="0"/>
    <w:pPr>
      <w:numPr>
        <w:ilvl w:val="0"/>
        <w:numId w:val="15"/>
      </w:numPr>
      <w:tabs>
        <w:tab w:val="left" w:pos="839"/>
        <w:tab w:val="clear" w:pos="851"/>
      </w:tabs>
      <w:jc w:val="both"/>
    </w:pPr>
    <w:rPr>
      <w:rFonts w:hint="eastAsia" w:ascii="宋体" w:hAnsi="Times New Roman" w:eastAsia="宋体" w:cs="宋体"/>
      <w:sz w:val="21"/>
      <w:lang w:val="en-US" w:eastAsia="zh-CN" w:bidi="ar-SA"/>
    </w:rPr>
  </w:style>
  <w:style w:type="paragraph" w:customStyle="1" w:styleId="176">
    <w:name w:val="标准文件_索引字母"/>
    <w:next w:val="57"/>
    <w:qFormat/>
    <w:uiPriority w:val="0"/>
    <w:pPr>
      <w:jc w:val="center"/>
    </w:pPr>
    <w:rPr>
      <w:rFonts w:hint="eastAsia" w:ascii="宋体" w:hAnsi="宋体" w:eastAsia="宋体" w:cs="宋体"/>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hint="eastAsia" w:ascii="黑体" w:hAnsi="黑体" w:eastAsia="黑体" w:cs="黑体"/>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30"/>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31"/>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32"/>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rPr>
      <w:rFonts w:hAnsi="宋体"/>
      <w:sz w:val="18"/>
    </w:rPr>
  </w:style>
  <w:style w:type="paragraph" w:customStyle="1" w:styleId="184">
    <w:name w:val="标准文件_示例×："/>
    <w:basedOn w:val="1"/>
    <w:next w:val="183"/>
    <w:qFormat/>
    <w:uiPriority w:val="0"/>
    <w:pPr>
      <w:widowControl/>
      <w:numPr>
        <w:ilvl w:val="0"/>
        <w:numId w:val="33"/>
      </w:numPr>
      <w:adjustRightInd/>
    </w:pPr>
    <w:rPr>
      <w:kern w:val="0"/>
      <w:sz w:val="18"/>
      <w:szCs w:val="18"/>
    </w:rPr>
  </w:style>
  <w:style w:type="character" w:customStyle="1" w:styleId="185">
    <w:name w:val="标准文件_段 Char"/>
    <w:link w:val="57"/>
    <w:qFormat/>
    <w:uiPriority w:val="0"/>
    <w:rPr>
      <w:rFonts w:hint="eastAsia" w:ascii="宋体" w:hAnsi="Times New Roman" w:cs="宋体"/>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next w:val="57"/>
    <w:qFormat/>
    <w:uiPriority w:val="0"/>
    <w:pPr>
      <w:numPr>
        <w:ilvl w:val="1"/>
        <w:numId w:val="24"/>
      </w:numPr>
    </w:pPr>
  </w:style>
  <w:style w:type="paragraph" w:customStyle="1" w:styleId="189">
    <w:name w:val="标准文件_三级项2"/>
    <w:basedOn w:val="57"/>
    <w:qFormat/>
    <w:uiPriority w:val="0"/>
    <w:pPr>
      <w:numPr>
        <w:ilvl w:val="0"/>
        <w:numId w:val="34"/>
      </w:numPr>
      <w:spacing w:line="300" w:lineRule="exact"/>
      <w:ind w:firstLineChars="0"/>
    </w:pPr>
    <w:rPr>
      <w:rFonts w:ascii="Times New Roman"/>
    </w:rPr>
  </w:style>
  <w:style w:type="paragraph" w:customStyle="1" w:styleId="190">
    <w:name w:val="标准文件_一级项2"/>
    <w:basedOn w:val="57"/>
    <w:qFormat/>
    <w:uiPriority w:val="0"/>
    <w:pPr>
      <w:numPr>
        <w:ilvl w:val="0"/>
        <w:numId w:val="35"/>
      </w:numPr>
      <w:spacing w:line="300" w:lineRule="exact"/>
      <w:ind w:firstLineChars="0"/>
    </w:pPr>
    <w:rPr>
      <w:rFonts w:ascii="Times New Roman"/>
    </w:rPr>
  </w:style>
  <w:style w:type="paragraph" w:customStyle="1" w:styleId="191">
    <w:name w:val="标准文件_提示"/>
    <w:basedOn w:val="57"/>
    <w:next w:val="57"/>
    <w:qFormat/>
    <w:uiPriority w:val="0"/>
    <w:rPr>
      <w:rFonts w:ascii="黑体" w:hAnsi="黑体" w:eastAsia="黑体" w:cs="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hSpace="0" w:wrap="around" w:vAnchor="page" w:hAnchor="text" w:x="1419" w:y="14176"/>
    </w:pPr>
  </w:style>
  <w:style w:type="paragraph" w:customStyle="1" w:styleId="195">
    <w:name w:val="其他实施日期"/>
    <w:basedOn w:val="155"/>
    <w:qFormat/>
    <w:uiPriority w:val="0"/>
    <w:pPr>
      <w:framePr w:wrap="around"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8"/>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7"/>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10"/>
      </w:numPr>
      <w:spacing w:before="157" w:beforeLines="50" w:after="157" w:afterLines="50"/>
    </w:pPr>
    <w:rPr>
      <w:rFonts w:ascii="黑体" w:hAnsi="黑体" w:eastAsia="黑体" w:cs="黑体"/>
    </w:rPr>
  </w:style>
  <w:style w:type="paragraph" w:customStyle="1" w:styleId="202">
    <w:name w:val="标准文件_引言二级条标题"/>
    <w:basedOn w:val="57"/>
    <w:next w:val="57"/>
    <w:qFormat/>
    <w:uiPriority w:val="0"/>
    <w:pPr>
      <w:numPr>
        <w:ilvl w:val="2"/>
        <w:numId w:val="10"/>
      </w:numPr>
      <w:spacing w:before="157" w:beforeLines="50" w:after="157" w:afterLines="50"/>
    </w:pPr>
    <w:rPr>
      <w:rFonts w:ascii="黑体" w:hAnsi="黑体" w:eastAsia="黑体" w:cs="黑体"/>
    </w:rPr>
  </w:style>
  <w:style w:type="paragraph" w:customStyle="1" w:styleId="203">
    <w:name w:val="标准文件_引言三级条标题"/>
    <w:basedOn w:val="57"/>
    <w:next w:val="57"/>
    <w:qFormat/>
    <w:uiPriority w:val="0"/>
    <w:pPr>
      <w:numPr>
        <w:ilvl w:val="3"/>
        <w:numId w:val="10"/>
      </w:numPr>
      <w:spacing w:before="157" w:beforeLines="50" w:after="157" w:afterLines="50"/>
    </w:pPr>
    <w:rPr>
      <w:rFonts w:ascii="黑体" w:hAnsi="黑体" w:eastAsia="黑体" w:cs="黑体"/>
    </w:rPr>
  </w:style>
  <w:style w:type="paragraph" w:customStyle="1" w:styleId="204">
    <w:name w:val="标准文件_引言四级条标题"/>
    <w:basedOn w:val="57"/>
    <w:next w:val="57"/>
    <w:qFormat/>
    <w:uiPriority w:val="0"/>
    <w:pPr>
      <w:numPr>
        <w:ilvl w:val="4"/>
        <w:numId w:val="10"/>
      </w:numPr>
      <w:spacing w:before="157" w:beforeLines="50" w:after="157" w:afterLines="50"/>
    </w:pPr>
    <w:rPr>
      <w:rFonts w:ascii="黑体" w:hAnsi="黑体" w:eastAsia="黑体" w:cs="黑体"/>
    </w:rPr>
  </w:style>
  <w:style w:type="paragraph" w:customStyle="1" w:styleId="205">
    <w:name w:val="标准文件_引言五级条标题"/>
    <w:basedOn w:val="57"/>
    <w:next w:val="57"/>
    <w:qFormat/>
    <w:uiPriority w:val="0"/>
    <w:pPr>
      <w:numPr>
        <w:ilvl w:val="5"/>
        <w:numId w:val="10"/>
      </w:numPr>
      <w:spacing w:before="157" w:beforeLines="50" w:after="157" w:afterLines="50"/>
    </w:pPr>
    <w:rPr>
      <w:rFonts w:ascii="黑体" w:hAnsi="黑体" w:eastAsia="黑体" w:cs="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hint="eastAsia" w:ascii="宋体" w:hAnsi="Times New Roman" w:cs="宋体"/>
      <w:sz w:val="18"/>
    </w:rPr>
  </w:style>
  <w:style w:type="paragraph" w:customStyle="1" w:styleId="211">
    <w:name w:val="标准文件_索引项"/>
    <w:basedOn w:val="57"/>
    <w:next w:val="57"/>
    <w:qFormat/>
    <w:uiPriority w:val="0"/>
    <w:pPr>
      <w:tabs>
        <w:tab w:val="right" w:leader="dot" w:pos="9355"/>
      </w:tabs>
      <w:ind w:left="77" w:hanging="77" w:hangingChars="37"/>
      <w:jc w:val="left"/>
    </w:pPr>
  </w:style>
  <w:style w:type="paragraph" w:customStyle="1" w:styleId="212">
    <w:name w:val="标准文件_附录一级无标题"/>
    <w:basedOn w:val="79"/>
    <w:qFormat/>
    <w:uiPriority w:val="0"/>
    <w:pPr>
      <w:spacing w:before="4" w:beforeLines="1" w:after="4" w:afterLines="1" w:line="276" w:lineRule="auto"/>
      <w:outlineLvl w:val="9"/>
    </w:pPr>
    <w:rPr>
      <w:rFonts w:ascii="宋体" w:hAnsi="宋体" w:eastAsia="宋体" w:cs="宋体"/>
    </w:rPr>
  </w:style>
  <w:style w:type="paragraph" w:customStyle="1" w:styleId="213">
    <w:name w:val="标准文件_附录二级无标题"/>
    <w:basedOn w:val="80"/>
    <w:qFormat/>
    <w:uiPriority w:val="0"/>
    <w:pPr>
      <w:spacing w:before="4" w:beforeLines="1" w:after="4" w:afterLines="1" w:line="276" w:lineRule="auto"/>
      <w:outlineLvl w:val="9"/>
    </w:pPr>
    <w:rPr>
      <w:rFonts w:ascii="宋体" w:hAnsi="宋体" w:eastAsia="宋体" w:cs="宋体"/>
    </w:rPr>
  </w:style>
  <w:style w:type="paragraph" w:customStyle="1" w:styleId="214">
    <w:name w:val="标准文件_附录三级无标题"/>
    <w:basedOn w:val="82"/>
    <w:qFormat/>
    <w:uiPriority w:val="0"/>
    <w:pPr>
      <w:spacing w:before="4" w:beforeLines="1" w:after="4" w:afterLines="1" w:line="276" w:lineRule="auto"/>
      <w:outlineLvl w:val="9"/>
    </w:pPr>
    <w:rPr>
      <w:rFonts w:ascii="宋体" w:hAnsi="宋体" w:eastAsia="宋体" w:cs="宋体"/>
    </w:rPr>
  </w:style>
  <w:style w:type="paragraph" w:customStyle="1" w:styleId="215">
    <w:name w:val="标准文件_附录四级无标题"/>
    <w:basedOn w:val="83"/>
    <w:qFormat/>
    <w:uiPriority w:val="0"/>
    <w:pPr>
      <w:spacing w:before="4" w:beforeLines="1" w:after="4" w:afterLines="1" w:line="276" w:lineRule="auto"/>
      <w:outlineLvl w:val="9"/>
    </w:pPr>
    <w:rPr>
      <w:rFonts w:ascii="宋体" w:hAnsi="宋体" w:eastAsia="宋体" w:cs="宋体"/>
    </w:rPr>
  </w:style>
  <w:style w:type="paragraph" w:customStyle="1" w:styleId="216">
    <w:name w:val="标准文件_附录五级无标题"/>
    <w:basedOn w:val="85"/>
    <w:qFormat/>
    <w:uiPriority w:val="0"/>
    <w:pPr>
      <w:spacing w:before="4" w:beforeLines="1" w:after="4" w:afterLines="1" w:line="276" w:lineRule="auto"/>
      <w:outlineLvl w:val="9"/>
    </w:pPr>
    <w:rPr>
      <w:rFonts w:ascii="宋体" w:hAnsi="宋体" w:eastAsia="宋体" w:cs="宋体"/>
    </w:rPr>
  </w:style>
  <w:style w:type="paragraph" w:customStyle="1" w:styleId="217">
    <w:name w:val="标准文件_引言一级无标题"/>
    <w:basedOn w:val="201"/>
    <w:next w:val="57"/>
    <w:qFormat/>
    <w:uiPriority w:val="0"/>
    <w:pPr>
      <w:spacing w:before="4" w:beforeLines="1" w:after="4" w:afterLines="1" w:line="276" w:lineRule="auto"/>
    </w:pPr>
    <w:rPr>
      <w:rFonts w:ascii="宋体" w:hAnsi="宋体" w:eastAsia="宋体" w:cs="宋体"/>
    </w:rPr>
  </w:style>
  <w:style w:type="paragraph" w:customStyle="1" w:styleId="218">
    <w:name w:val="标准文件_引言二级无标题"/>
    <w:basedOn w:val="202"/>
    <w:next w:val="57"/>
    <w:qFormat/>
    <w:uiPriority w:val="0"/>
    <w:pPr>
      <w:spacing w:before="4" w:beforeLines="1" w:after="4" w:afterLines="1" w:line="276" w:lineRule="auto"/>
    </w:pPr>
    <w:rPr>
      <w:rFonts w:ascii="宋体" w:hAnsi="宋体" w:eastAsia="宋体" w:cs="宋体"/>
    </w:rPr>
  </w:style>
  <w:style w:type="paragraph" w:customStyle="1" w:styleId="219">
    <w:name w:val="标准文件_引言三级无标题"/>
    <w:basedOn w:val="203"/>
    <w:next w:val="57"/>
    <w:qFormat/>
    <w:uiPriority w:val="0"/>
    <w:pPr>
      <w:spacing w:before="4" w:beforeLines="1" w:after="4" w:afterLines="1" w:line="276" w:lineRule="auto"/>
    </w:pPr>
    <w:rPr>
      <w:rFonts w:ascii="宋体" w:hAnsi="宋体" w:eastAsia="宋体" w:cs="宋体"/>
    </w:rPr>
  </w:style>
  <w:style w:type="paragraph" w:customStyle="1" w:styleId="220">
    <w:name w:val="标准文件_引言四级无标题"/>
    <w:basedOn w:val="204"/>
    <w:next w:val="57"/>
    <w:qFormat/>
    <w:uiPriority w:val="0"/>
    <w:pPr>
      <w:spacing w:before="4" w:beforeLines="1" w:after="4" w:afterLines="1" w:line="276" w:lineRule="auto"/>
    </w:pPr>
    <w:rPr>
      <w:rFonts w:ascii="宋体" w:hAnsi="宋体" w:eastAsia="宋体" w:cs="宋体"/>
    </w:rPr>
  </w:style>
  <w:style w:type="paragraph" w:customStyle="1" w:styleId="221">
    <w:name w:val="标准文件_引言五级无标题"/>
    <w:basedOn w:val="205"/>
    <w:next w:val="57"/>
    <w:qFormat/>
    <w:uiPriority w:val="0"/>
    <w:pPr>
      <w:spacing w:before="4" w:beforeLines="1" w:after="4" w:afterLines="1" w:line="276" w:lineRule="auto"/>
    </w:pPr>
    <w:rPr>
      <w:rFonts w:ascii="宋体" w:hAnsi="宋体" w:eastAsia="宋体" w:cs="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pPr>
      <w:ind w:left="420" w:hanging="420" w:hangingChars="200"/>
    </w:pPr>
    <w:rPr>
      <w:rFonts w:ascii="黑体" w:hAnsi="黑体" w:eastAsia="黑体" w:cs="黑体"/>
    </w:rPr>
  </w:style>
  <w:style w:type="paragraph" w:customStyle="1" w:styleId="225">
    <w:name w:val="标准文件_术语条二"/>
    <w:basedOn w:val="166"/>
    <w:next w:val="57"/>
    <w:qFormat/>
    <w:uiPriority w:val="0"/>
    <w:pPr>
      <w:ind w:left="420" w:hanging="420" w:hangingChars="200"/>
    </w:pPr>
    <w:rPr>
      <w:rFonts w:ascii="黑体" w:hAnsi="黑体" w:eastAsia="黑体" w:cs="黑体"/>
    </w:rPr>
  </w:style>
  <w:style w:type="paragraph" w:customStyle="1" w:styleId="226">
    <w:name w:val="标准文件_术语条三"/>
    <w:basedOn w:val="165"/>
    <w:next w:val="57"/>
    <w:qFormat/>
    <w:uiPriority w:val="0"/>
    <w:pPr>
      <w:ind w:left="420" w:hanging="420" w:hangingChars="200"/>
    </w:pPr>
    <w:rPr>
      <w:rFonts w:ascii="黑体" w:hAnsi="黑体" w:eastAsia="黑体" w:cs="黑体"/>
    </w:rPr>
  </w:style>
  <w:style w:type="paragraph" w:customStyle="1" w:styleId="227">
    <w:name w:val="标准文件_术语条四"/>
    <w:basedOn w:val="168"/>
    <w:next w:val="57"/>
    <w:qFormat/>
    <w:uiPriority w:val="0"/>
    <w:pPr>
      <w:ind w:left="420" w:hanging="420" w:hangingChars="200"/>
    </w:pPr>
    <w:rPr>
      <w:rFonts w:ascii="黑体" w:hAnsi="黑体" w:eastAsia="黑体" w:cs="黑体"/>
    </w:rPr>
  </w:style>
  <w:style w:type="paragraph" w:customStyle="1" w:styleId="228">
    <w:name w:val="标准文件_术语条五"/>
    <w:basedOn w:val="164"/>
    <w:next w:val="57"/>
    <w:qFormat/>
    <w:uiPriority w:val="0"/>
    <w:pPr>
      <w:ind w:left="420" w:hanging="420" w:hangingChars="200"/>
    </w:pPr>
    <w:rPr>
      <w:rFonts w:ascii="黑体" w:hAnsi="黑体" w:eastAsia="黑体" w:cs="黑体"/>
    </w:rPr>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 w:type="paragraph" w:customStyle="1" w:styleId="232">
    <w:name w:val="正文1"/>
    <w:qFormat/>
    <w:uiPriority w:val="0"/>
    <w:pPr>
      <w:jc w:val="both"/>
    </w:pPr>
    <w:rPr>
      <w:rFonts w:ascii="Calibri" w:hAnsi="Calibri" w:eastAsia="宋体" w:cs="宋体"/>
      <w:kern w:val="2"/>
      <w:sz w:val="21"/>
      <w:szCs w:val="21"/>
      <w:lang w:val="en-US" w:eastAsia="zh-CN" w:bidi="ar-SA"/>
    </w:rPr>
  </w:style>
  <w:style w:type="paragraph" w:customStyle="1" w:styleId="233">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lang w:val="en-US" w:eastAsia="zh-CN" w:bidi="ar-SA"/>
    </w:rPr>
  </w:style>
  <w:style w:type="paragraph" w:customStyle="1" w:styleId="234">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lang w:val="en-US" w:eastAsia="zh-CN" w:bidi="ar-SA"/>
    </w:rPr>
  </w:style>
  <w:style w:type="paragraph" w:customStyle="1" w:styleId="235">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customStyle="1" w:styleId="236">
    <w:name w:val="标准书脚_奇数页"/>
    <w:qFormat/>
    <w:uiPriority w:val="0"/>
    <w:pPr>
      <w:ind w:right="227"/>
      <w:jc w:val="right"/>
    </w:pPr>
    <w:rPr>
      <w:rFonts w:hint="eastAsia" w:ascii="宋体" w:hAnsi="Times New Roman" w:eastAsia="宋体" w:cs="宋体"/>
      <w:sz w:val="18"/>
      <w:lang w:val="en-US" w:eastAsia="zh-CN" w:bidi="ar-SA"/>
    </w:rPr>
  </w:style>
  <w:style w:type="paragraph" w:customStyle="1" w:styleId="237">
    <w:name w:val="标准书眉_奇数页"/>
    <w:next w:val="1"/>
    <w:qFormat/>
    <w:uiPriority w:val="0"/>
    <w:pPr>
      <w:tabs>
        <w:tab w:val="center" w:pos="4153"/>
        <w:tab w:val="right" w:pos="8306"/>
      </w:tabs>
      <w:spacing w:after="120"/>
      <w:jc w:val="right"/>
    </w:pPr>
    <w:rPr>
      <w:rFonts w:hint="eastAsia" w:ascii="黑体" w:hAnsi="Times New Roman" w:eastAsia="黑体" w:cs="黑体"/>
      <w:sz w:val="21"/>
      <w:lang w:val="en-US" w:eastAsia="zh-CN" w:bidi="ar-SA"/>
    </w:rPr>
  </w:style>
  <w:style w:type="paragraph" w:customStyle="1" w:styleId="238">
    <w:name w:val="标准书眉_偶数页"/>
    <w:next w:val="1"/>
    <w:qFormat/>
    <w:uiPriority w:val="0"/>
    <w:pPr>
      <w:spacing w:after="120"/>
    </w:pPr>
    <w:rPr>
      <w:rFonts w:hint="eastAsia" w:ascii="黑体" w:hAnsi="Times New Roman" w:eastAsia="黑体" w:cs="黑体"/>
      <w:sz w:val="21"/>
      <w:lang w:val="en-US" w:eastAsia="zh-CN" w:bidi="ar-SA"/>
    </w:rPr>
  </w:style>
  <w:style w:type="paragraph" w:customStyle="1" w:styleId="239">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lang w:val="en-US" w:eastAsia="zh-CN" w:bidi="ar-SA"/>
    </w:rPr>
  </w:style>
  <w:style w:type="paragraph" w:customStyle="1" w:styleId="240">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lang w:val="en-US" w:eastAsia="zh-CN" w:bidi="ar-SA"/>
    </w:rPr>
  </w:style>
  <w:style w:type="paragraph" w:customStyle="1" w:styleId="241">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lang w:val="en-US" w:eastAsia="zh-CN" w:bidi="ar-SA"/>
    </w:rPr>
  </w:style>
  <w:style w:type="paragraph" w:customStyle="1" w:styleId="242">
    <w:name w:val="封面标准文稿附件"/>
    <w:basedOn w:val="125"/>
    <w:qFormat/>
    <w:uiPriority w:val="0"/>
    <w:pPr>
      <w:framePr w:wrap="around"/>
      <w:spacing w:before="937" w:beforeLines="300" w:afterLines="30" w:line="240" w:lineRule="auto"/>
    </w:pPr>
    <w:rPr>
      <w:rFonts w:ascii="Times New Roman" w:hAnsi="Times New Roman" w:cs="Times New Roman"/>
      <w:b/>
      <w:sz w:val="21"/>
    </w:rPr>
  </w:style>
  <w:style w:type="paragraph" w:customStyle="1" w:styleId="243">
    <w:name w:val="其他发布部门2"/>
    <w:basedOn w:val="120"/>
    <w:qFormat/>
    <w:uiPriority w:val="0"/>
    <w:pPr>
      <w:framePr w:w="7433" w:h="584" w:hRule="exact" w:hSpace="181" w:wrap="around" w:vAnchor="margin" w:hAnchor="margin" w:xAlign="center" w:y="15027"/>
      <w:spacing w:line="0" w:lineRule="atLeast"/>
    </w:pPr>
    <w:rPr>
      <w:rFonts w:ascii="黑体" w:hAnsi="黑体" w:eastAsia="黑体"/>
      <w:b w:val="0"/>
      <w:spacing w:val="0"/>
      <w:w w:val="100"/>
    </w:rPr>
  </w:style>
  <w:style w:type="paragraph" w:customStyle="1" w:styleId="244">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lang w:val="en-US" w:eastAsia="zh-CN" w:bidi="ar-SA"/>
    </w:rPr>
  </w:style>
  <w:style w:type="paragraph" w:customStyle="1" w:styleId="245">
    <w:name w:val="附录图标号"/>
    <w:basedOn w:val="57"/>
    <w:next w:val="57"/>
    <w:qFormat/>
    <w:uiPriority w:val="0"/>
    <w:pPr>
      <w:numPr>
        <w:ilvl w:val="0"/>
        <w:numId w:val="1"/>
      </w:numPr>
      <w:spacing w:line="14" w:lineRule="exact"/>
      <w:jc w:val="center"/>
    </w:pPr>
    <w:rPr>
      <w:sz w:val="2"/>
    </w:rPr>
  </w:style>
  <w:style w:type="paragraph" w:customStyle="1" w:styleId="246">
    <w:name w:val="附录图标题"/>
    <w:next w:val="57"/>
    <w:qFormat/>
    <w:uiPriority w:val="0"/>
    <w:pPr>
      <w:numPr>
        <w:ilvl w:val="1"/>
        <w:numId w:val="1"/>
      </w:numPr>
      <w:spacing w:before="157" w:beforeLines="50" w:after="157" w:afterLines="50"/>
      <w:jc w:val="center"/>
    </w:pPr>
    <w:rPr>
      <w:rFonts w:hint="eastAsia" w:ascii="黑体" w:hAnsi="黑体" w:eastAsia="黑体" w:cs="黑体"/>
      <w:sz w:val="21"/>
      <w:lang w:val="en-US" w:eastAsia="zh-CN" w:bidi="ar-SA"/>
    </w:rPr>
  </w:style>
  <w:style w:type="paragraph" w:customStyle="1" w:styleId="247">
    <w:name w:val="附录表标号"/>
    <w:basedOn w:val="57"/>
    <w:next w:val="57"/>
    <w:qFormat/>
    <w:uiPriority w:val="0"/>
    <w:pPr>
      <w:numPr>
        <w:ilvl w:val="0"/>
        <w:numId w:val="36"/>
      </w:numPr>
      <w:spacing w:line="14" w:lineRule="exact"/>
      <w:jc w:val="center"/>
    </w:pPr>
    <w:rPr>
      <w:sz w:val="2"/>
    </w:rPr>
  </w:style>
  <w:style w:type="paragraph" w:customStyle="1" w:styleId="248">
    <w:name w:val="附录表标题"/>
    <w:next w:val="57"/>
    <w:qFormat/>
    <w:uiPriority w:val="0"/>
    <w:pPr>
      <w:numPr>
        <w:ilvl w:val="1"/>
        <w:numId w:val="36"/>
      </w:numPr>
      <w:spacing w:before="157" w:beforeLines="50" w:after="157" w:afterLines="50"/>
      <w:jc w:val="center"/>
    </w:pPr>
    <w:rPr>
      <w:rFonts w:hint="eastAsia" w:ascii="黑体" w:hAnsi="黑体" w:eastAsia="黑体" w:cs="黑体"/>
      <w:sz w:val="21"/>
      <w:lang w:val="en-US" w:eastAsia="zh-CN" w:bidi="ar-SA"/>
    </w:rPr>
  </w:style>
  <w:style w:type="paragraph" w:customStyle="1" w:styleId="249">
    <w:name w:val="标准文件_示例"/>
    <w:next w:val="183"/>
    <w:qFormat/>
    <w:uiPriority w:val="0"/>
    <w:pPr>
      <w:numPr>
        <w:ilvl w:val="0"/>
        <w:numId w:val="37"/>
      </w:numPr>
      <w:jc w:val="both"/>
    </w:pPr>
    <w:rPr>
      <w:rFonts w:hint="eastAsia" w:ascii="宋体" w:hAnsi="宋体" w:eastAsia="宋体" w:cs="宋体"/>
      <w:sz w:val="18"/>
      <w:lang w:val="en-US" w:eastAsia="zh-CN" w:bidi="ar-SA"/>
    </w:rPr>
  </w:style>
  <w:style w:type="paragraph" w:customStyle="1" w:styleId="250">
    <w:name w:val="标准文件_示例×"/>
    <w:basedOn w:val="1"/>
    <w:next w:val="183"/>
    <w:qFormat/>
    <w:uiPriority w:val="0"/>
    <w:pPr>
      <w:widowControl/>
      <w:numPr>
        <w:ilvl w:val="0"/>
        <w:numId w:val="38"/>
      </w:numPr>
      <w:adjustRightInd/>
    </w:pPr>
    <w:rPr>
      <w:rFonts w:hAnsi="宋体"/>
      <w:sz w:val="18"/>
    </w:rPr>
  </w:style>
  <w:style w:type="paragraph" w:customStyle="1" w:styleId="251">
    <w:name w:val="标准文件_注"/>
    <w:next w:val="57"/>
    <w:qFormat/>
    <w:uiPriority w:val="0"/>
    <w:pPr>
      <w:numPr>
        <w:ilvl w:val="0"/>
        <w:numId w:val="39"/>
      </w:numPr>
      <w:autoSpaceDE w:val="0"/>
      <w:autoSpaceDN w:val="0"/>
      <w:jc w:val="both"/>
    </w:pPr>
    <w:rPr>
      <w:rFonts w:hint="eastAsia" w:ascii="宋体" w:hAnsi="宋体" w:eastAsia="宋体" w:cs="宋体"/>
      <w:sz w:val="18"/>
      <w:lang w:val="en-US" w:eastAsia="zh-CN" w:bidi="ar-SA"/>
    </w:rPr>
  </w:style>
  <w:style w:type="paragraph" w:customStyle="1" w:styleId="252">
    <w:name w:val="标准文件_注×"/>
    <w:next w:val="57"/>
    <w:qFormat/>
    <w:uiPriority w:val="0"/>
    <w:pPr>
      <w:numPr>
        <w:ilvl w:val="0"/>
        <w:numId w:val="40"/>
      </w:numPr>
      <w:jc w:val="both"/>
    </w:pPr>
    <w:rPr>
      <w:rFonts w:hint="eastAsia" w:ascii="宋体" w:hAnsi="宋体" w:eastAsia="宋体" w:cs="宋体"/>
      <w:sz w:val="18"/>
      <w:lang w:val="en-US" w:eastAsia="zh-CN" w:bidi="ar-SA"/>
    </w:rPr>
  </w:style>
  <w:style w:type="paragraph" w:customStyle="1" w:styleId="253">
    <w:name w:val="终结线"/>
    <w:basedOn w:val="1"/>
    <w:qFormat/>
    <w:uiPriority w:val="0"/>
    <w:pPr>
      <w:framePr w:hSpace="181" w:vSpace="181" w:wrap="around" w:vAnchor="text" w:hAnchor="margin" w:xAlign="center" w:y="285"/>
    </w:pPr>
    <w:rPr>
      <w:rFonts w:ascii="Times New Roman" w:cs="Times New Roman"/>
      <w:b/>
      <w:sz w:val="34"/>
    </w:rPr>
  </w:style>
  <w:style w:type="paragraph" w:customStyle="1" w:styleId="254">
    <w:name w:val="标准文件_参考文献编号"/>
    <w:basedOn w:val="57"/>
    <w:qFormat/>
    <w:uiPriority w:val="0"/>
    <w:pPr>
      <w:numPr>
        <w:ilvl w:val="0"/>
        <w:numId w:val="4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E446A7020644C58C3FF2C1AF1BA2C3"/>
        <w:style w:val=""/>
        <w:category>
          <w:name w:val="常规"/>
          <w:gallery w:val="placeholder"/>
        </w:category>
        <w:types>
          <w:type w:val="bbPlcHdr"/>
        </w:types>
        <w:behaviors>
          <w:behavior w:val="content"/>
        </w:behaviors>
        <w:description w:val=""/>
        <w:guid w:val="{75DFBA67-D7D5-498A-8EDC-2C883151F977}"/>
      </w:docPartPr>
      <w:docPartBody>
        <w:p w14:paraId="67D4E620">
          <w:pPr>
            <w:pStyle w:val="5"/>
          </w:pPr>
          <w:r>
            <w:rPr>
              <w:rStyle w:val="4"/>
              <w:rFonts w:hint="eastAsia"/>
            </w:rPr>
            <w:t>单击或点击此处输入文字。</w:t>
          </w:r>
        </w:p>
      </w:docPartBody>
    </w:docPart>
    <w:docPart>
      <w:docPartPr>
        <w:name w:val="394061654F2142A490B713CCD9ED8BEF"/>
        <w:style w:val=""/>
        <w:category>
          <w:name w:val="常规"/>
          <w:gallery w:val="placeholder"/>
        </w:category>
        <w:types>
          <w:type w:val="bbPlcHdr"/>
        </w:types>
        <w:behaviors>
          <w:behavior w:val="content"/>
        </w:behaviors>
        <w:description w:val=""/>
        <w:guid w:val="{95C4FFD5-DBF2-458E-8C69-4073281F6713}"/>
      </w:docPartPr>
      <w:docPartBody>
        <w:p w14:paraId="75C01495">
          <w:pPr>
            <w:pStyle w:val="6"/>
          </w:pPr>
          <w:r>
            <w:rPr>
              <w:rStyle w:val="4"/>
              <w:rFonts w:hint="eastAsia"/>
            </w:rPr>
            <w:t>选择一项。</w:t>
          </w:r>
        </w:p>
      </w:docPartBody>
    </w:docPart>
    <w:docPart>
      <w:docPartPr>
        <w:name w:val="2156165AD8104593801D76694ECF42AF"/>
        <w:style w:val=""/>
        <w:category>
          <w:name w:val="常规"/>
          <w:gallery w:val="placeholder"/>
        </w:category>
        <w:types>
          <w:type w:val="bbPlcHdr"/>
        </w:types>
        <w:behaviors>
          <w:behavior w:val="content"/>
        </w:behaviors>
        <w:description w:val=""/>
        <w:guid w:val="{13723A83-F9DE-4398-A325-E42447063A1D}"/>
      </w:docPartPr>
      <w:docPartBody>
        <w:p w14:paraId="6FB984D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C77A0"/>
    <w:rsid w:val="00016395"/>
    <w:rsid w:val="000C34C0"/>
    <w:rsid w:val="00112220"/>
    <w:rsid w:val="00220246"/>
    <w:rsid w:val="00306B03"/>
    <w:rsid w:val="003545A8"/>
    <w:rsid w:val="003C3425"/>
    <w:rsid w:val="0044274F"/>
    <w:rsid w:val="004928E2"/>
    <w:rsid w:val="004943D4"/>
    <w:rsid w:val="00515B59"/>
    <w:rsid w:val="006301D6"/>
    <w:rsid w:val="00675EC0"/>
    <w:rsid w:val="00720184"/>
    <w:rsid w:val="008038BC"/>
    <w:rsid w:val="00817DBE"/>
    <w:rsid w:val="008C77A0"/>
    <w:rsid w:val="00937023"/>
    <w:rsid w:val="0097002E"/>
    <w:rsid w:val="00A66395"/>
    <w:rsid w:val="00AB255E"/>
    <w:rsid w:val="00B222D2"/>
    <w:rsid w:val="00BD5B4F"/>
    <w:rsid w:val="00D4738B"/>
    <w:rsid w:val="00D6267C"/>
    <w:rsid w:val="00D72BA1"/>
    <w:rsid w:val="00DA3EE5"/>
    <w:rsid w:val="00DB2AFA"/>
    <w:rsid w:val="00E11A62"/>
    <w:rsid w:val="00F6371E"/>
    <w:rsid w:val="00FE31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AE446A7020644C58C3FF2C1AF1BA2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94061654F2142A490B713CCD9ED8B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156165AD8104593801D76694ECF42A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3778</Words>
  <Characters>4723</Characters>
  <Lines>35</Lines>
  <Paragraphs>9</Paragraphs>
  <TotalTime>11</TotalTime>
  <ScaleCrop>false</ScaleCrop>
  <LinksUpToDate>false</LinksUpToDate>
  <CharactersWithSpaces>4935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2022-09-16T04:11:00Z</dcterms:created>
  <dc:creator>Administrator</dc:creator>
  <dc:description>&lt;config cover="true" show_menu="true" version="1.0.0" doctype="SDKXY"&gt;_x000d_
&lt;/config&gt;</dc:description>
  <cp:lastModifiedBy>jiangshui</cp:lastModifiedBy>
  <cp:lastPrinted>2021-02-02T08:22:00Z</cp:lastPrinted>
  <dcterms:modified xsi:type="dcterms:W3CDTF">2024-11-19T08:13:16Z</dcterms:modified>
  <dc:title>团体标准</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C72BC5DC67F048F78ABE0D1799AA2D86_13</vt:lpwstr>
  </property>
</Properties>
</file>